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关于开展2020年家庭经济困难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学生寒假路费资助评选工作的通知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根据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《成都中医药大学家庭经济困难学生寒假路费资助评选管理办法（试行）》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校字〔2014〕180号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）</w:t>
      </w:r>
      <w:r>
        <w:rPr>
          <w:rFonts w:hint="eastAsia" w:eastAsia="方正仿宋简体"/>
          <w:sz w:val="32"/>
          <w:szCs w:val="32"/>
          <w:lang w:val="en-US" w:eastAsia="zh-CN"/>
        </w:rPr>
        <w:t>文</w:t>
      </w:r>
      <w:bookmarkStart w:id="0" w:name="_GoBack"/>
      <w:bookmarkEnd w:id="0"/>
      <w:r>
        <w:rPr>
          <w:rFonts w:hint="eastAsia" w:eastAsia="方正仿宋简体"/>
          <w:sz w:val="32"/>
          <w:szCs w:val="32"/>
          <w:lang w:val="en-US" w:eastAsia="zh-CN"/>
        </w:rPr>
        <w:t>件</w:t>
      </w:r>
      <w:r>
        <w:rPr>
          <w:rFonts w:hint="eastAsia" w:eastAsia="方正仿宋简体"/>
          <w:sz w:val="32"/>
          <w:szCs w:val="32"/>
          <w:lang w:eastAsia="zh-CN"/>
        </w:rPr>
        <w:t>的精神，进一步关心爱护家庭经济困难学生，让家庭经济困难学生能够在新春佳节与家人团聚，向家人汇报在校学习生活，开开心心过年，</w:t>
      </w:r>
      <w:r>
        <w:rPr>
          <w:rFonts w:hint="eastAsia" w:eastAsia="方正仿宋简体"/>
          <w:sz w:val="32"/>
          <w:szCs w:val="32"/>
          <w:lang w:val="en-US" w:eastAsia="zh-CN"/>
        </w:rPr>
        <w:t>开展2020年</w:t>
      </w:r>
      <w:r>
        <w:rPr>
          <w:rFonts w:hint="eastAsia" w:eastAsia="方正仿宋简体"/>
          <w:sz w:val="32"/>
          <w:szCs w:val="32"/>
          <w:lang w:eastAsia="zh-CN"/>
        </w:rPr>
        <w:t>家庭经济困难学生寒假路费资助</w:t>
      </w:r>
      <w:r>
        <w:rPr>
          <w:rFonts w:hint="eastAsia" w:eastAsia="方正仿宋简体"/>
          <w:sz w:val="32"/>
          <w:szCs w:val="32"/>
          <w:lang w:val="en-US" w:eastAsia="zh-CN"/>
        </w:rPr>
        <w:t>评选工作，具体方案如下：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一、资助对象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 xml:space="preserve">    资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助对象为通过学校当年认定为家庭经济困难的全日制普通本、专科学生。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二、资助金额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按照不超过当年家庭经济困难学生信息库总人数4%的比例，从学校资助基金中给予家庭经济困难学生寒假路费资助，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原则上车票资助名额分配按家庭经济困难学生信息库人数中省内、省外人数比例计算，资助标准为四川省内300元/人，四川省外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500元/人。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方正仿宋简体" w:eastAsia="方正仿宋简体" w:cs="方正仿宋简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三、申请条件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热爱祖国，拥护党的领导，遵纪守法，道德品质良好；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学习勤奋刻苦，生活俭朴；无拖欠学费情况。如已申请国家助学贷款，则除贷款金额外无欠费情况；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3、在校表现良好，无违纪违法情况；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 xml:space="preserve">    4、学生本人寒假交通工具只限于长途汽车或火车（含动车、高铁，一等座、卧铺除外）；学生需提供本人寒假目的地车票证明一份，返校后应将往返车票交学院审核并存档。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方正仿宋简体" w:eastAsia="方正仿宋简体" w:cs="方正仿宋简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四、评选程序及时间要求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（一）个人申请时间</w:t>
      </w:r>
      <w:r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：2020年11月30日-12月1日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（二）班级评审时间：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2020年12月</w:t>
      </w: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（三）院级评审及公示：</w:t>
      </w: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2020年12月3日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眼科学院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outlineLvl w:val="9"/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2020年11月30日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67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000A2"/>
    <w:rsid w:val="3B75592D"/>
    <w:rsid w:val="43F0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Calibri" w:eastAsia="FZXiaoBiaoSong-B05" w:cs="FZXiaoBiaoSong-B05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2020-12-01T04:59:00Z</dcterms:created>
  <dc:creator>Administrator</dc:creator>
  <cp:lastModifiedBy>Administrator</cp:lastModifiedBy>
  <dcterms:modified xsi:type="dcterms:W3CDTF">2020-12-01T05:10:41Z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