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黔东南州工业学校（黔东南技师学院）新校区第二批学生课桌椅采购项目（设立</w:t>
      </w:r>
      <w:r>
        <w:rPr>
          <w:rFonts w:hint="eastAsia" w:ascii="方正小标宋简体" w:hAnsi="方正小标宋简体" w:eastAsia="方正小标宋简体" w:cs="方正小标宋简体"/>
          <w:sz w:val="44"/>
          <w:szCs w:val="44"/>
        </w:rPr>
        <w:t>黔东南理工职业学院第</w:t>
      </w:r>
      <w:r>
        <w:rPr>
          <w:rFonts w:hint="eastAsia" w:ascii="方正小标宋简体" w:hAnsi="方正小标宋简体" w:eastAsia="方正小标宋简体" w:cs="方正小标宋简体"/>
          <w:sz w:val="44"/>
          <w:szCs w:val="44"/>
          <w:lang w:val="en-US" w:eastAsia="zh-CN"/>
        </w:rPr>
        <w:t>二</w:t>
      </w:r>
      <w:r>
        <w:rPr>
          <w:rFonts w:hint="eastAsia" w:ascii="方正小标宋简体" w:hAnsi="方正小标宋简体" w:eastAsia="方正小标宋简体" w:cs="方正小标宋简体"/>
          <w:sz w:val="44"/>
          <w:szCs w:val="44"/>
        </w:rPr>
        <w:t>批</w:t>
      </w:r>
      <w:r>
        <w:rPr>
          <w:rFonts w:hint="eastAsia" w:ascii="方正小标宋简体" w:hAnsi="方正小标宋简体" w:eastAsia="方正小标宋简体" w:cs="方正小标宋简体"/>
          <w:sz w:val="44"/>
          <w:szCs w:val="44"/>
          <w:lang w:val="en-US" w:eastAsia="zh-CN"/>
        </w:rPr>
        <w:t>学生课桌椅采购项目）</w:t>
      </w:r>
      <w:r>
        <w:rPr>
          <w:rFonts w:hint="eastAsia" w:ascii="方正小标宋简体" w:hAnsi="方正小标宋简体" w:eastAsia="方正小标宋简体" w:cs="方正小标宋简体"/>
          <w:sz w:val="44"/>
          <w:szCs w:val="44"/>
        </w:rPr>
        <w:t>采购清单</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询价</w:t>
      </w:r>
      <w:r>
        <w:rPr>
          <w:rFonts w:hint="eastAsia" w:ascii="方正小标宋简体" w:hAnsi="方正小标宋简体" w:eastAsia="方正小标宋简体" w:cs="方正小标宋简体"/>
          <w:sz w:val="44"/>
          <w:szCs w:val="44"/>
          <w:lang w:eastAsia="zh-CN"/>
        </w:rPr>
        <w:t>）</w:t>
      </w:r>
    </w:p>
    <w:p>
      <w:pPr>
        <w:adjustRightInd w:val="0"/>
        <w:snapToGrid w:val="0"/>
        <w:jc w:val="center"/>
        <w:rPr>
          <w:rFonts w:ascii="宋体" w:hAnsi="宋体"/>
          <w:sz w:val="24"/>
          <w:szCs w:val="24"/>
        </w:rPr>
      </w:pPr>
    </w:p>
    <w:tbl>
      <w:tblPr>
        <w:tblStyle w:val="7"/>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371"/>
        <w:gridCol w:w="1785"/>
        <w:gridCol w:w="2346"/>
        <w:gridCol w:w="1066"/>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1371"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实训室</w:t>
            </w:r>
          </w:p>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名称</w:t>
            </w:r>
          </w:p>
        </w:tc>
        <w:tc>
          <w:tcPr>
            <w:tcW w:w="1785"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设备名称</w:t>
            </w:r>
          </w:p>
        </w:tc>
        <w:tc>
          <w:tcPr>
            <w:tcW w:w="2346"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技术参数</w:t>
            </w:r>
          </w:p>
        </w:tc>
        <w:tc>
          <w:tcPr>
            <w:tcW w:w="1066"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数量</w:t>
            </w:r>
          </w:p>
        </w:tc>
        <w:tc>
          <w:tcPr>
            <w:tcW w:w="621"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单位</w:t>
            </w:r>
          </w:p>
        </w:tc>
        <w:tc>
          <w:tcPr>
            <w:tcW w:w="875"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单价（元）</w:t>
            </w:r>
          </w:p>
        </w:tc>
        <w:tc>
          <w:tcPr>
            <w:tcW w:w="1382"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31" w:type="dxa"/>
            <w:vMerge w:val="restart"/>
            <w:noWrap/>
            <w:vAlign w:val="center"/>
          </w:tcPr>
          <w:p>
            <w:pPr>
              <w:adjustRightInd w:val="0"/>
              <w:snapToGrid w:val="0"/>
              <w:spacing w:line="300" w:lineRule="exact"/>
              <w:jc w:val="center"/>
              <w:rPr>
                <w:rFonts w:ascii="仿宋" w:hAnsi="仿宋" w:eastAsia="仿宋" w:cs="仿宋"/>
                <w:sz w:val="24"/>
                <w:szCs w:val="24"/>
              </w:rPr>
            </w:pPr>
            <w:r>
              <w:rPr>
                <w:rFonts w:hint="eastAsia" w:ascii="仿宋" w:hAnsi="仿宋" w:eastAsia="仿宋" w:cs="仿宋"/>
                <w:sz w:val="24"/>
                <w:szCs w:val="24"/>
              </w:rPr>
              <w:t>1</w:t>
            </w:r>
          </w:p>
        </w:tc>
        <w:tc>
          <w:tcPr>
            <w:tcW w:w="1371" w:type="dxa"/>
            <w:vMerge w:val="restart"/>
            <w:noWrap/>
            <w:vAlign w:val="center"/>
          </w:tcPr>
          <w:p>
            <w:pPr>
              <w:adjustRightInd w:val="0"/>
              <w:snapToGrid w:val="0"/>
              <w:spacing w:line="300" w:lineRule="exact"/>
              <w:jc w:val="center"/>
              <w:rPr>
                <w:rFonts w:ascii="仿宋" w:hAnsi="仿宋" w:eastAsia="仿宋" w:cs="仿宋"/>
                <w:sz w:val="24"/>
                <w:szCs w:val="24"/>
              </w:rPr>
            </w:pPr>
            <w:r>
              <w:rPr>
                <w:rFonts w:hint="eastAsia" w:ascii="仿宋" w:hAnsi="仿宋" w:eastAsia="仿宋" w:cs="仿宋"/>
                <w:sz w:val="24"/>
                <w:szCs w:val="24"/>
              </w:rPr>
              <w:t>理论教室</w:t>
            </w:r>
          </w:p>
        </w:tc>
        <w:tc>
          <w:tcPr>
            <w:tcW w:w="1785" w:type="dxa"/>
            <w:noWrap/>
            <w:vAlign w:val="center"/>
          </w:tcPr>
          <w:p>
            <w:pPr>
              <w:adjustRightInd w:val="0"/>
              <w:snapToGrid w:val="0"/>
              <w:spacing w:line="300" w:lineRule="exact"/>
              <w:jc w:val="center"/>
              <w:rPr>
                <w:rFonts w:ascii="仿宋" w:hAnsi="仿宋" w:eastAsia="仿宋" w:cs="仿宋"/>
                <w:sz w:val="24"/>
                <w:szCs w:val="24"/>
              </w:rPr>
            </w:pPr>
            <w:r>
              <w:rPr>
                <w:rFonts w:hint="eastAsia" w:ascii="仿宋" w:hAnsi="仿宋" w:eastAsia="仿宋" w:cs="仿宋"/>
                <w:color w:val="000000"/>
                <w:kern w:val="0"/>
                <w:sz w:val="24"/>
                <w:szCs w:val="24"/>
              </w:rPr>
              <w:t>教室讲桌</w:t>
            </w:r>
          </w:p>
        </w:tc>
        <w:tc>
          <w:tcPr>
            <w:tcW w:w="2346" w:type="dxa"/>
            <w:noWrap/>
            <w:vAlign w:val="center"/>
          </w:tcPr>
          <w:p>
            <w:pPr>
              <w:adjustRightInd w:val="0"/>
              <w:snapToGrid w:val="0"/>
              <w:spacing w:line="300" w:lineRule="exact"/>
              <w:jc w:val="center"/>
              <w:rPr>
                <w:rFonts w:ascii="仿宋" w:hAnsi="仿宋" w:eastAsia="仿宋" w:cs="仿宋"/>
                <w:sz w:val="24"/>
                <w:szCs w:val="24"/>
              </w:rPr>
            </w:pPr>
            <w:r>
              <w:rPr>
                <w:rFonts w:hint="eastAsia" w:ascii="仿宋" w:hAnsi="仿宋" w:eastAsia="仿宋" w:cs="仿宋"/>
                <w:sz w:val="24"/>
                <w:szCs w:val="24"/>
              </w:rPr>
              <w:t>详见附件一</w:t>
            </w:r>
          </w:p>
        </w:tc>
        <w:tc>
          <w:tcPr>
            <w:tcW w:w="1066"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color w:val="000000"/>
                <w:kern w:val="0"/>
                <w:sz w:val="24"/>
                <w:szCs w:val="24"/>
                <w:lang w:val="en-US" w:eastAsia="zh-CN"/>
              </w:rPr>
              <w:t>91</w:t>
            </w:r>
          </w:p>
        </w:tc>
        <w:tc>
          <w:tcPr>
            <w:tcW w:w="621" w:type="dxa"/>
            <w:noWrap/>
            <w:vAlign w:val="center"/>
          </w:tcPr>
          <w:p>
            <w:pPr>
              <w:widowControl/>
              <w:jc w:val="center"/>
              <w:textAlignment w:val="center"/>
              <w:rPr>
                <w:rFonts w:ascii="仿宋" w:hAnsi="仿宋" w:eastAsia="仿宋" w:cs="仿宋"/>
                <w:sz w:val="24"/>
                <w:szCs w:val="24"/>
              </w:rPr>
            </w:pPr>
            <w:r>
              <w:rPr>
                <w:rFonts w:hint="eastAsia" w:ascii="仿宋" w:hAnsi="仿宋" w:eastAsia="仿宋" w:cs="仿宋"/>
                <w:color w:val="000000"/>
                <w:kern w:val="0"/>
                <w:sz w:val="24"/>
                <w:szCs w:val="24"/>
              </w:rPr>
              <w:t>张</w:t>
            </w:r>
          </w:p>
        </w:tc>
        <w:tc>
          <w:tcPr>
            <w:tcW w:w="875" w:type="dxa"/>
            <w:noWrap/>
            <w:vAlign w:val="center"/>
          </w:tcPr>
          <w:p>
            <w:pPr>
              <w:widowControl/>
              <w:jc w:val="center"/>
              <w:textAlignment w:val="center"/>
              <w:rPr>
                <w:rFonts w:hint="default" w:ascii="仿宋" w:hAnsi="仿宋" w:eastAsia="仿宋" w:cs="仿宋"/>
                <w:sz w:val="24"/>
                <w:szCs w:val="24"/>
                <w:lang w:val="en-US" w:eastAsia="zh-CN"/>
              </w:rPr>
            </w:pPr>
          </w:p>
        </w:tc>
        <w:tc>
          <w:tcPr>
            <w:tcW w:w="1382"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31" w:type="dxa"/>
            <w:vMerge w:val="continue"/>
            <w:noWrap/>
            <w:vAlign w:val="center"/>
          </w:tcPr>
          <w:p>
            <w:pPr>
              <w:adjustRightInd w:val="0"/>
              <w:snapToGrid w:val="0"/>
              <w:spacing w:line="300" w:lineRule="exact"/>
              <w:jc w:val="center"/>
              <w:rPr>
                <w:rFonts w:ascii="仿宋" w:hAnsi="仿宋" w:eastAsia="仿宋" w:cs="仿宋"/>
                <w:sz w:val="24"/>
                <w:szCs w:val="24"/>
              </w:rPr>
            </w:pPr>
          </w:p>
        </w:tc>
        <w:tc>
          <w:tcPr>
            <w:tcW w:w="1371" w:type="dxa"/>
            <w:vMerge w:val="continue"/>
            <w:noWrap/>
            <w:vAlign w:val="center"/>
          </w:tcPr>
          <w:p>
            <w:pPr>
              <w:adjustRightInd w:val="0"/>
              <w:snapToGrid w:val="0"/>
              <w:spacing w:line="300" w:lineRule="exact"/>
              <w:jc w:val="center"/>
              <w:rPr>
                <w:rFonts w:ascii="仿宋" w:hAnsi="仿宋" w:eastAsia="仿宋" w:cs="仿宋"/>
                <w:sz w:val="24"/>
                <w:szCs w:val="24"/>
              </w:rPr>
            </w:pPr>
          </w:p>
        </w:tc>
        <w:tc>
          <w:tcPr>
            <w:tcW w:w="1785" w:type="dxa"/>
            <w:noWrap/>
            <w:vAlign w:val="center"/>
          </w:tcPr>
          <w:p>
            <w:pPr>
              <w:widowControl/>
              <w:jc w:val="center"/>
              <w:textAlignment w:val="center"/>
              <w:rPr>
                <w:rFonts w:ascii="仿宋" w:hAnsi="仿宋" w:eastAsia="仿宋" w:cs="仿宋"/>
                <w:sz w:val="24"/>
                <w:szCs w:val="24"/>
              </w:rPr>
            </w:pPr>
            <w:r>
              <w:rPr>
                <w:rFonts w:hint="eastAsia" w:ascii="仿宋" w:hAnsi="仿宋" w:eastAsia="仿宋" w:cs="仿宋"/>
                <w:color w:val="000000"/>
                <w:kern w:val="0"/>
                <w:sz w:val="24"/>
                <w:szCs w:val="24"/>
              </w:rPr>
              <w:t>双人课桌椅</w:t>
            </w:r>
          </w:p>
        </w:tc>
        <w:tc>
          <w:tcPr>
            <w:tcW w:w="2346" w:type="dxa"/>
            <w:noWrap/>
            <w:vAlign w:val="center"/>
          </w:tcPr>
          <w:p>
            <w:pPr>
              <w:adjustRightInd w:val="0"/>
              <w:snapToGrid w:val="0"/>
              <w:spacing w:line="300" w:lineRule="exact"/>
              <w:jc w:val="center"/>
              <w:rPr>
                <w:rFonts w:ascii="仿宋" w:hAnsi="仿宋" w:eastAsia="仿宋" w:cs="仿宋"/>
                <w:sz w:val="24"/>
                <w:szCs w:val="24"/>
              </w:rPr>
            </w:pPr>
            <w:r>
              <w:rPr>
                <w:rFonts w:hint="eastAsia" w:ascii="仿宋" w:hAnsi="仿宋" w:eastAsia="仿宋" w:cs="仿宋"/>
                <w:sz w:val="24"/>
                <w:szCs w:val="24"/>
              </w:rPr>
              <w:t>详见附件一</w:t>
            </w:r>
          </w:p>
        </w:tc>
        <w:tc>
          <w:tcPr>
            <w:tcW w:w="1066" w:type="dxa"/>
            <w:noWrap/>
            <w:vAlign w:val="center"/>
          </w:tcPr>
          <w:p>
            <w:pPr>
              <w:widowControl/>
              <w:jc w:val="center"/>
              <w:textAlignment w:val="center"/>
              <w:rPr>
                <w:rFonts w:hint="default" w:ascii="仿宋" w:hAnsi="仿宋" w:eastAsia="仿宋" w:cs="仿宋"/>
                <w:color w:val="FF0000"/>
                <w:kern w:val="0"/>
                <w:sz w:val="24"/>
                <w:szCs w:val="24"/>
                <w:lang w:val="en-US" w:eastAsia="zh-CN"/>
              </w:rPr>
            </w:pPr>
            <w:r>
              <w:rPr>
                <w:rFonts w:hint="eastAsia" w:ascii="仿宋" w:hAnsi="仿宋" w:eastAsia="仿宋" w:cs="仿宋"/>
                <w:color w:val="auto"/>
                <w:kern w:val="0"/>
                <w:sz w:val="24"/>
                <w:szCs w:val="24"/>
                <w:lang w:val="en-US" w:eastAsia="zh-CN"/>
              </w:rPr>
              <w:t>2275</w:t>
            </w:r>
          </w:p>
        </w:tc>
        <w:tc>
          <w:tcPr>
            <w:tcW w:w="621" w:type="dxa"/>
            <w:noWrap/>
            <w:vAlign w:val="center"/>
          </w:tcPr>
          <w:p>
            <w:pPr>
              <w:widowControl/>
              <w:jc w:val="center"/>
              <w:textAlignment w:val="center"/>
              <w:rPr>
                <w:rFonts w:ascii="仿宋" w:hAnsi="仿宋" w:eastAsia="仿宋" w:cs="仿宋"/>
                <w:sz w:val="24"/>
                <w:szCs w:val="24"/>
              </w:rPr>
            </w:pPr>
            <w:r>
              <w:rPr>
                <w:rFonts w:hint="eastAsia" w:ascii="仿宋" w:hAnsi="仿宋" w:eastAsia="仿宋" w:cs="仿宋"/>
                <w:color w:val="000000"/>
                <w:kern w:val="0"/>
                <w:sz w:val="24"/>
                <w:szCs w:val="24"/>
              </w:rPr>
              <w:t>张</w:t>
            </w:r>
          </w:p>
        </w:tc>
        <w:tc>
          <w:tcPr>
            <w:tcW w:w="875" w:type="dxa"/>
            <w:noWrap/>
            <w:vAlign w:val="center"/>
          </w:tcPr>
          <w:p>
            <w:pPr>
              <w:widowControl/>
              <w:jc w:val="center"/>
              <w:textAlignment w:val="center"/>
              <w:rPr>
                <w:rFonts w:hint="default" w:ascii="仿宋" w:hAnsi="仿宋" w:eastAsia="仿宋" w:cs="仿宋"/>
                <w:sz w:val="24"/>
                <w:szCs w:val="24"/>
                <w:lang w:val="en-US" w:eastAsia="zh-CN"/>
              </w:rPr>
            </w:pPr>
          </w:p>
        </w:tc>
        <w:tc>
          <w:tcPr>
            <w:tcW w:w="1382" w:type="dxa"/>
            <w:noWrap/>
            <w:vAlign w:val="center"/>
          </w:tcPr>
          <w:p>
            <w:pPr>
              <w:adjustRightInd w:val="0"/>
              <w:snapToGrid w:val="0"/>
              <w:spacing w:line="30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31" w:type="dxa"/>
            <w:noWrap/>
            <w:vAlign w:val="center"/>
          </w:tcPr>
          <w:p>
            <w:pPr>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371"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扩音器</w:t>
            </w:r>
          </w:p>
        </w:tc>
        <w:tc>
          <w:tcPr>
            <w:tcW w:w="1785" w:type="dxa"/>
            <w:noWrap/>
            <w:vAlign w:val="center"/>
          </w:tcPr>
          <w:p>
            <w:pPr>
              <w:widowControl/>
              <w:jc w:val="center"/>
              <w:textAlignment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便携式扩音器</w:t>
            </w:r>
          </w:p>
        </w:tc>
        <w:tc>
          <w:tcPr>
            <w:tcW w:w="2346" w:type="dxa"/>
            <w:noWrap/>
            <w:vAlign w:val="center"/>
          </w:tcPr>
          <w:p>
            <w:pPr>
              <w:adjustRightInd w:val="0"/>
              <w:snapToGrid w:val="0"/>
              <w:spacing w:line="300" w:lineRule="exact"/>
              <w:jc w:val="center"/>
              <w:rPr>
                <w:rFonts w:hint="eastAsia" w:ascii="仿宋" w:hAnsi="仿宋" w:eastAsia="仿宋" w:cs="仿宋"/>
                <w:sz w:val="24"/>
                <w:szCs w:val="24"/>
              </w:rPr>
            </w:pPr>
            <w:r>
              <w:rPr>
                <w:rFonts w:hint="eastAsia" w:ascii="仿宋" w:hAnsi="仿宋" w:eastAsia="仿宋" w:cs="仿宋"/>
                <w:sz w:val="24"/>
                <w:szCs w:val="24"/>
              </w:rPr>
              <w:t>详见附件一</w:t>
            </w:r>
          </w:p>
        </w:tc>
        <w:tc>
          <w:tcPr>
            <w:tcW w:w="1066" w:type="dxa"/>
            <w:noWrap/>
            <w:vAlign w:val="center"/>
          </w:tcPr>
          <w:p>
            <w:pPr>
              <w:widowControl/>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50</w:t>
            </w:r>
          </w:p>
        </w:tc>
        <w:tc>
          <w:tcPr>
            <w:tcW w:w="621" w:type="dxa"/>
            <w:noWrap/>
            <w:vAlign w:val="center"/>
          </w:tcPr>
          <w:p>
            <w:pPr>
              <w:widowControl/>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台</w:t>
            </w:r>
          </w:p>
        </w:tc>
        <w:tc>
          <w:tcPr>
            <w:tcW w:w="875"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p>
        </w:tc>
        <w:tc>
          <w:tcPr>
            <w:tcW w:w="1382"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133" w:type="dxa"/>
            <w:gridSpan w:val="4"/>
            <w:noWrap/>
            <w:vAlign w:val="center"/>
          </w:tcPr>
          <w:p>
            <w:pPr>
              <w:adjustRightInd w:val="0"/>
              <w:snapToGrid w:val="0"/>
              <w:spacing w:line="300" w:lineRule="exact"/>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小计</w:t>
            </w:r>
          </w:p>
        </w:tc>
        <w:tc>
          <w:tcPr>
            <w:tcW w:w="1066" w:type="dxa"/>
            <w:noWrap/>
            <w:vAlign w:val="center"/>
          </w:tcPr>
          <w:p>
            <w:pPr>
              <w:adjustRightInd w:val="0"/>
              <w:snapToGrid w:val="0"/>
              <w:spacing w:line="300" w:lineRule="exact"/>
              <w:jc w:val="center"/>
              <w:rPr>
                <w:rFonts w:ascii="仿宋" w:hAnsi="仿宋" w:eastAsia="仿宋" w:cs="仿宋"/>
                <w:kern w:val="0"/>
                <w:sz w:val="24"/>
                <w:szCs w:val="24"/>
              </w:rPr>
            </w:pPr>
          </w:p>
        </w:tc>
        <w:tc>
          <w:tcPr>
            <w:tcW w:w="621" w:type="dxa"/>
            <w:noWrap/>
            <w:vAlign w:val="center"/>
          </w:tcPr>
          <w:p>
            <w:pPr>
              <w:adjustRightInd w:val="0"/>
              <w:snapToGrid w:val="0"/>
              <w:spacing w:line="300" w:lineRule="exact"/>
              <w:jc w:val="center"/>
              <w:rPr>
                <w:rFonts w:ascii="仿宋" w:hAnsi="仿宋" w:eastAsia="仿宋" w:cs="仿宋"/>
                <w:sz w:val="24"/>
                <w:szCs w:val="24"/>
              </w:rPr>
            </w:pPr>
          </w:p>
        </w:tc>
        <w:tc>
          <w:tcPr>
            <w:tcW w:w="875" w:type="dxa"/>
            <w:noWrap/>
            <w:vAlign w:val="center"/>
          </w:tcPr>
          <w:p>
            <w:pPr>
              <w:adjustRightInd w:val="0"/>
              <w:snapToGrid w:val="0"/>
              <w:spacing w:line="300" w:lineRule="exact"/>
              <w:jc w:val="center"/>
              <w:rPr>
                <w:rFonts w:ascii="仿宋" w:hAnsi="仿宋" w:eastAsia="仿宋" w:cs="仿宋"/>
                <w:sz w:val="24"/>
                <w:szCs w:val="24"/>
              </w:rPr>
            </w:pPr>
          </w:p>
        </w:tc>
        <w:tc>
          <w:tcPr>
            <w:tcW w:w="1382" w:type="dxa"/>
            <w:noWrap/>
            <w:vAlign w:val="center"/>
          </w:tcPr>
          <w:p>
            <w:pPr>
              <w:adjustRightInd w:val="0"/>
              <w:snapToGrid w:val="0"/>
              <w:spacing w:line="300" w:lineRule="exact"/>
              <w:jc w:val="center"/>
              <w:rPr>
                <w:rFonts w:hint="default" w:ascii="仿宋" w:hAnsi="仿宋" w:eastAsia="仿宋" w:cs="仿宋"/>
                <w:b/>
                <w:sz w:val="24"/>
                <w:szCs w:val="24"/>
                <w:lang w:val="en-US" w:eastAsia="zh-CN"/>
              </w:rPr>
            </w:pPr>
          </w:p>
        </w:tc>
      </w:tr>
    </w:tbl>
    <w:p>
      <w:r>
        <w:br w:type="page"/>
      </w:r>
    </w:p>
    <w:p>
      <w:pPr>
        <w:pStyle w:val="3"/>
        <w:sectPr>
          <w:pgSz w:w="11906" w:h="16838"/>
          <w:pgMar w:top="1440" w:right="1800" w:bottom="1440" w:left="1800" w:header="851" w:footer="992" w:gutter="0"/>
          <w:cols w:space="425" w:num="1"/>
          <w:docGrid w:type="lines" w:linePitch="312" w:charSpace="0"/>
        </w:sectPr>
      </w:pPr>
    </w:p>
    <w:p>
      <w:pPr>
        <w:pStyle w:val="10"/>
        <w:ind w:firstLine="0" w:firstLineChars="0"/>
        <w:rPr>
          <w:sz w:val="36"/>
          <w:szCs w:val="36"/>
        </w:rPr>
      </w:pPr>
      <w:r>
        <w:rPr>
          <w:rFonts w:hint="eastAsia" w:ascii="宋体" w:hAnsi="宋体" w:cs="宋体"/>
          <w:b/>
          <w:bCs/>
          <w:color w:val="000000"/>
          <w:kern w:val="0"/>
          <w:sz w:val="36"/>
          <w:szCs w:val="36"/>
        </w:rPr>
        <w:t>附件一：理论教室</w:t>
      </w:r>
    </w:p>
    <w:tbl>
      <w:tblPr>
        <w:tblStyle w:val="8"/>
        <w:tblW w:w="142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121"/>
        <w:gridCol w:w="9447"/>
        <w:gridCol w:w="719"/>
        <w:gridCol w:w="708"/>
        <w:gridCol w:w="696"/>
        <w:gridCol w:w="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90" w:type="dxa"/>
            <w:shd w:val="clear" w:color="auto" w:fill="00B0F0"/>
            <w:vAlign w:val="center"/>
          </w:tcPr>
          <w:p>
            <w:pPr>
              <w:widowControl/>
              <w:jc w:val="center"/>
              <w:textAlignment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序号</w:t>
            </w:r>
          </w:p>
        </w:tc>
        <w:tc>
          <w:tcPr>
            <w:tcW w:w="1121" w:type="dxa"/>
            <w:shd w:val="clear" w:color="auto" w:fill="00B0F0"/>
            <w:vAlign w:val="center"/>
          </w:tcPr>
          <w:p>
            <w:pPr>
              <w:widowControl/>
              <w:jc w:val="center"/>
              <w:textAlignment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产品名称</w:t>
            </w:r>
          </w:p>
        </w:tc>
        <w:tc>
          <w:tcPr>
            <w:tcW w:w="9447" w:type="dxa"/>
            <w:shd w:val="clear" w:color="auto" w:fill="00B0F0"/>
            <w:vAlign w:val="center"/>
          </w:tcPr>
          <w:p>
            <w:pPr>
              <w:widowControl/>
              <w:jc w:val="center"/>
              <w:textAlignment w:val="center"/>
              <w:rPr>
                <w:rFonts w:ascii="仿宋_GB2312" w:hAnsi="仿宋_GB2312" w:eastAsia="仿宋_GB2312" w:cs="仿宋_GB2312"/>
                <w:b/>
                <w:color w:val="000000"/>
                <w:kern w:val="0"/>
                <w:szCs w:val="21"/>
              </w:rPr>
            </w:pPr>
            <w:r>
              <w:rPr>
                <w:rFonts w:hint="eastAsia" w:ascii="宋体" w:hAnsi="宋体" w:cs="宋体"/>
                <w:b/>
                <w:bCs/>
                <w:color w:val="000000"/>
                <w:kern w:val="0"/>
                <w:szCs w:val="21"/>
              </w:rPr>
              <w:t>主要技术参数(规格)</w:t>
            </w:r>
          </w:p>
        </w:tc>
        <w:tc>
          <w:tcPr>
            <w:tcW w:w="719" w:type="dxa"/>
            <w:shd w:val="clear" w:color="auto" w:fill="00B0F0"/>
            <w:vAlign w:val="center"/>
          </w:tcPr>
          <w:p>
            <w:pPr>
              <w:widowControl/>
              <w:jc w:val="center"/>
              <w:textAlignment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单位</w:t>
            </w:r>
          </w:p>
        </w:tc>
        <w:tc>
          <w:tcPr>
            <w:tcW w:w="708" w:type="dxa"/>
            <w:shd w:val="clear" w:color="auto" w:fill="00B0F0"/>
            <w:vAlign w:val="center"/>
          </w:tcPr>
          <w:p>
            <w:pPr>
              <w:widowControl/>
              <w:jc w:val="center"/>
              <w:textAlignment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数量</w:t>
            </w:r>
          </w:p>
        </w:tc>
        <w:tc>
          <w:tcPr>
            <w:tcW w:w="696" w:type="dxa"/>
            <w:shd w:val="clear" w:color="auto" w:fill="00B0F0"/>
            <w:vAlign w:val="center"/>
          </w:tcPr>
          <w:p>
            <w:pPr>
              <w:widowControl/>
              <w:jc w:val="center"/>
              <w:textAlignment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单价</w:t>
            </w:r>
          </w:p>
        </w:tc>
        <w:tc>
          <w:tcPr>
            <w:tcW w:w="829" w:type="dxa"/>
            <w:shd w:val="clear" w:color="auto" w:fill="00B0F0"/>
            <w:vAlign w:val="center"/>
          </w:tcPr>
          <w:p>
            <w:pPr>
              <w:widowControl/>
              <w:jc w:val="center"/>
              <w:textAlignment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w:t>
            </w:r>
          </w:p>
        </w:tc>
        <w:tc>
          <w:tcPr>
            <w:tcW w:w="1121" w:type="dxa"/>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教室讲桌</w:t>
            </w:r>
          </w:p>
        </w:tc>
        <w:tc>
          <w:tcPr>
            <w:tcW w:w="9447" w:type="dxa"/>
            <w:vAlign w:val="center"/>
          </w:tcPr>
          <w:p>
            <w:pPr>
              <w:widowControl/>
              <w:jc w:val="left"/>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1、规格：1200mm*600mm*900mm；</w:t>
            </w:r>
            <w:r>
              <w:rPr>
                <w:rFonts w:hint="eastAsia" w:ascii="仿宋_GB2312" w:hAnsi="仿宋_GB2312" w:eastAsia="仿宋_GB2312" w:cs="仿宋_GB2312"/>
                <w:color w:val="000000"/>
                <w:kern w:val="0"/>
                <w:szCs w:val="21"/>
              </w:rPr>
              <w:br w:type="textWrapping"/>
            </w:r>
            <w:r>
              <w:rPr>
                <w:rFonts w:hint="eastAsia" w:ascii="仿宋_GB2312" w:hAnsi="仿宋_GB2312" w:eastAsia="仿宋_GB2312" w:cs="仿宋_GB2312"/>
                <w:color w:val="000000"/>
                <w:kern w:val="0"/>
                <w:szCs w:val="21"/>
              </w:rPr>
              <w:t>2、主材：采用优质</w:t>
            </w:r>
            <w:r>
              <w:rPr>
                <w:rFonts w:hint="eastAsia" w:ascii="仿宋_GB2312" w:hAnsi="仿宋_GB2312" w:eastAsia="仿宋_GB2312" w:cs="仿宋_GB2312"/>
                <w:color w:val="000000"/>
                <w:kern w:val="0"/>
                <w:szCs w:val="21"/>
                <w:lang w:val="en-US" w:eastAsia="zh-CN"/>
              </w:rPr>
              <w:t>实木</w:t>
            </w:r>
            <w:r>
              <w:rPr>
                <w:rFonts w:hint="eastAsia" w:ascii="仿宋_GB2312" w:hAnsi="仿宋_GB2312" w:eastAsia="仿宋_GB2312" w:cs="仿宋_GB2312"/>
                <w:color w:val="000000"/>
                <w:kern w:val="0"/>
                <w:szCs w:val="21"/>
              </w:rPr>
              <w:t>板，面板厚度18mm，侧板15cm，前沿半圆弧处理，2mm厚优质PVC封边。</w:t>
            </w:r>
          </w:p>
        </w:tc>
        <w:tc>
          <w:tcPr>
            <w:tcW w:w="719" w:type="dxa"/>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张</w:t>
            </w:r>
          </w:p>
        </w:tc>
        <w:tc>
          <w:tcPr>
            <w:tcW w:w="708" w:type="dxa"/>
            <w:vAlign w:val="center"/>
          </w:tcPr>
          <w:p>
            <w:pPr>
              <w:widowControl/>
              <w:jc w:val="center"/>
              <w:textAlignment w:val="center"/>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91</w:t>
            </w:r>
          </w:p>
        </w:tc>
        <w:tc>
          <w:tcPr>
            <w:tcW w:w="696" w:type="dxa"/>
            <w:vAlign w:val="center"/>
          </w:tcPr>
          <w:p>
            <w:pPr>
              <w:widowControl/>
              <w:jc w:val="center"/>
              <w:textAlignment w:val="center"/>
              <w:rPr>
                <w:rFonts w:hint="default" w:ascii="仿宋_GB2312" w:hAnsi="仿宋_GB2312" w:eastAsia="仿宋_GB2312" w:cs="仿宋_GB2312"/>
                <w:color w:val="000000"/>
                <w:kern w:val="0"/>
                <w:szCs w:val="21"/>
                <w:lang w:val="en-US" w:eastAsia="zh-CN"/>
              </w:rPr>
            </w:pPr>
          </w:p>
        </w:tc>
        <w:tc>
          <w:tcPr>
            <w:tcW w:w="829" w:type="dxa"/>
            <w:vAlign w:val="center"/>
          </w:tcPr>
          <w:p>
            <w:pPr>
              <w:widowControl/>
              <w:jc w:val="center"/>
              <w:textAlignment w:val="center"/>
              <w:rPr>
                <w:rFonts w:ascii="仿宋_GB2312" w:hAnsi="仿宋_GB2312" w:eastAsia="仿宋_GB2312" w:cs="仿宋_GB2312"/>
                <w:color w:val="000000"/>
                <w:kern w:val="0"/>
                <w:szCs w:val="21"/>
              </w:rPr>
            </w:pPr>
            <w:r>
              <w:rPr>
                <w:rFonts w:hint="eastAsia" w:ascii="仿宋" w:hAnsi="仿宋" w:eastAsia="仿宋" w:cs="仿宋"/>
                <w:sz w:val="24"/>
                <w:szCs w:val="24"/>
                <w:lang w:val="en-US" w:eastAsia="zh-CN"/>
              </w:rPr>
              <w:t>43680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121" w:type="dxa"/>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双人课桌椅</w:t>
            </w:r>
          </w:p>
        </w:tc>
        <w:tc>
          <w:tcPr>
            <w:tcW w:w="9447" w:type="dxa"/>
            <w:vAlign w:val="center"/>
          </w:tcPr>
          <w:p>
            <w:pPr>
              <w:widowControl/>
              <w:jc w:val="left"/>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一、课桌尺寸：1200mm*400mm*760mm（±2mm）</w:t>
            </w:r>
            <w:r>
              <w:rPr>
                <w:rFonts w:hint="eastAsia" w:ascii="仿宋_GB2312" w:hAnsi="仿宋_GB2312" w:eastAsia="仿宋_GB2312" w:cs="仿宋_GB2312"/>
                <w:color w:val="000000"/>
                <w:kern w:val="0"/>
                <w:szCs w:val="21"/>
              </w:rPr>
              <w:br w:type="textWrapping"/>
            </w:r>
            <w:r>
              <w:rPr>
                <w:rFonts w:hint="eastAsia" w:ascii="仿宋_GB2312" w:hAnsi="仿宋_GB2312" w:eastAsia="仿宋_GB2312" w:cs="仿宋_GB2312"/>
                <w:color w:val="000000"/>
                <w:kern w:val="0"/>
                <w:szCs w:val="21"/>
              </w:rPr>
              <w:t>1、桌面：长1200mm*宽400mm*厚17mm，材质</w:t>
            </w:r>
            <w:r>
              <w:rPr>
                <w:rFonts w:hint="eastAsia" w:ascii="仿宋_GB2312" w:hAnsi="仿宋_GB2312" w:eastAsia="仿宋_GB2312" w:cs="仿宋_GB2312"/>
                <w:color w:val="000000"/>
                <w:kern w:val="0"/>
                <w:szCs w:val="21"/>
                <w:lang w:val="en-US" w:eastAsia="zh-CN"/>
              </w:rPr>
              <w:t>优质实木板</w:t>
            </w:r>
            <w:r>
              <w:rPr>
                <w:rFonts w:hint="eastAsia" w:ascii="仿宋_GB2312" w:hAnsi="仿宋_GB2312" w:eastAsia="仿宋_GB2312" w:cs="仿宋_GB2312"/>
                <w:color w:val="000000"/>
                <w:kern w:val="0"/>
                <w:szCs w:val="21"/>
              </w:rPr>
              <w:t>四周打磨油漆而成。具有环保、防水、耐磨、耐热、耐酸碱、耐烟灼、耐撞击，不变形、不起皮等性能。</w:t>
            </w:r>
            <w:r>
              <w:rPr>
                <w:rFonts w:hint="eastAsia" w:ascii="仿宋_GB2312" w:hAnsi="仿宋_GB2312" w:eastAsia="仿宋_GB2312" w:cs="仿宋_GB2312"/>
                <w:color w:val="000000"/>
                <w:kern w:val="0"/>
                <w:szCs w:val="21"/>
              </w:rPr>
              <w:br w:type="textWrapping"/>
            </w:r>
            <w:r>
              <w:rPr>
                <w:rFonts w:hint="eastAsia" w:ascii="仿宋_GB2312" w:hAnsi="仿宋_GB2312" w:eastAsia="仿宋_GB2312" w:cs="仿宋_GB2312"/>
                <w:color w:val="000000"/>
                <w:kern w:val="0"/>
                <w:szCs w:val="21"/>
              </w:rPr>
              <w:t>课桌抽屉长1050mm*宽230mm*高度不低于120mm材质和桌面一样。课桌结构为固定式</w:t>
            </w:r>
            <w:r>
              <w:rPr>
                <w:rFonts w:hint="eastAsia" w:ascii="仿宋_GB2312" w:hAnsi="仿宋_GB2312" w:eastAsia="仿宋_GB2312" w:cs="仿宋_GB2312"/>
                <w:color w:val="000000"/>
                <w:kern w:val="0"/>
                <w:szCs w:val="21"/>
              </w:rPr>
              <w:br w:type="textWrapping"/>
            </w:r>
            <w:r>
              <w:rPr>
                <w:rFonts w:hint="eastAsia" w:ascii="仿宋_GB2312" w:hAnsi="仿宋_GB2312" w:eastAsia="仿宋_GB2312" w:cs="仿宋_GB2312"/>
                <w:color w:val="000000"/>
                <w:kern w:val="0"/>
                <w:szCs w:val="21"/>
              </w:rPr>
              <w:t>2、桌架：下桌腿采用椭圆钢管30mm*60mm*1.2mm（厚），一次性液压弯成型。桌脚两端配置高强度增强塑料脚套，螺丝固定，焊接部位应牢固，应无脱焊、虚焊、焊穿，焊缝均匀、应无毛刺、锐棱、飞溅、裂纹等缺陷。</w:t>
            </w:r>
            <w:r>
              <w:rPr>
                <w:rFonts w:hint="eastAsia" w:ascii="仿宋_GB2312" w:hAnsi="仿宋_GB2312" w:eastAsia="仿宋_GB2312" w:cs="仿宋_GB2312"/>
                <w:color w:val="000000"/>
                <w:kern w:val="0"/>
                <w:szCs w:val="21"/>
              </w:rPr>
              <w:br w:type="textWrapping"/>
            </w:r>
            <w:r>
              <w:rPr>
                <w:rFonts w:hint="eastAsia" w:ascii="仿宋_GB2312" w:hAnsi="仿宋_GB2312" w:eastAsia="仿宋_GB2312" w:cs="仿宋_GB2312"/>
                <w:color w:val="000000"/>
                <w:kern w:val="0"/>
                <w:szCs w:val="21"/>
              </w:rPr>
              <w:t>二、椅子为固定式双人坐椅高不低于桌子760mm。</w:t>
            </w:r>
            <w:r>
              <w:rPr>
                <w:rFonts w:hint="eastAsia" w:ascii="仿宋_GB2312" w:hAnsi="仿宋_GB2312" w:eastAsia="仿宋_GB2312" w:cs="仿宋_GB2312"/>
                <w:color w:val="000000"/>
                <w:kern w:val="0"/>
                <w:szCs w:val="21"/>
              </w:rPr>
              <w:br w:type="textWrapping"/>
            </w:r>
            <w:r>
              <w:rPr>
                <w:rFonts w:hint="eastAsia" w:ascii="仿宋_GB2312" w:hAnsi="仿宋_GB2312" w:eastAsia="仿宋_GB2312" w:cs="仿宋_GB2312"/>
                <w:color w:val="000000"/>
                <w:kern w:val="0"/>
                <w:szCs w:val="21"/>
              </w:rPr>
              <w:t>1、座板：规格为长1050mm*宽300mm*17mm（±5mm）</w:t>
            </w:r>
            <w:r>
              <w:rPr>
                <w:rFonts w:hint="eastAsia" w:ascii="仿宋_GB2312" w:hAnsi="仿宋_GB2312" w:eastAsia="仿宋_GB2312" w:cs="仿宋_GB2312"/>
                <w:color w:val="000000"/>
                <w:kern w:val="0"/>
                <w:szCs w:val="21"/>
              </w:rPr>
              <w:br w:type="textWrapping"/>
            </w:r>
            <w:r>
              <w:rPr>
                <w:rFonts w:hint="eastAsia" w:ascii="仿宋_GB2312" w:hAnsi="仿宋_GB2312" w:eastAsia="仿宋_GB2312" w:cs="仿宋_GB2312"/>
                <w:color w:val="000000"/>
                <w:kern w:val="0"/>
                <w:szCs w:val="21"/>
              </w:rPr>
              <w:t>2、靠背板：规格为长1050mm*宽230mm*17mm（±5mm）材料和桌子一样。坐靠舒适，椅坐背板使用螺栓固定。</w:t>
            </w:r>
            <w:r>
              <w:rPr>
                <w:rFonts w:hint="eastAsia" w:ascii="仿宋_GB2312" w:hAnsi="仿宋_GB2312" w:eastAsia="仿宋_GB2312" w:cs="仿宋_GB2312"/>
                <w:color w:val="000000"/>
                <w:kern w:val="0"/>
                <w:szCs w:val="21"/>
              </w:rPr>
              <w:br w:type="textWrapping"/>
            </w:r>
            <w:r>
              <w:rPr>
                <w:rFonts w:hint="eastAsia" w:ascii="仿宋_GB2312" w:hAnsi="仿宋_GB2312" w:eastAsia="仿宋_GB2312" w:cs="仿宋_GB2312"/>
                <w:color w:val="000000"/>
                <w:kern w:val="0"/>
                <w:szCs w:val="21"/>
              </w:rPr>
              <w:t>3、椅架：座板靠背板支撑采用椭圆钢管20*40*1.0mm。底部材质方形管30*50*1.0mm两端配置高强度增强塑料脚套，螺丝固定，以防脱落。两椅腿间设有横档，横档采用椭圆钢管，尺寸为20mm*40mm*1.0mm（厚）焊接。焊接部位应牢固，应无脱焊、虚焊、焊穿，焊缝均匀、应无毛刺、锐棱、飞溅、裂纹等缺陷。</w:t>
            </w:r>
            <w:r>
              <w:rPr>
                <w:rFonts w:hint="eastAsia" w:ascii="仿宋_GB2312" w:hAnsi="仿宋_GB2312" w:eastAsia="仿宋_GB2312" w:cs="仿宋_GB2312"/>
                <w:color w:val="000000"/>
                <w:kern w:val="0"/>
                <w:szCs w:val="21"/>
              </w:rPr>
              <w:br w:type="textWrapping"/>
            </w:r>
            <w:r>
              <w:rPr>
                <w:rFonts w:hint="eastAsia" w:ascii="仿宋_GB2312" w:hAnsi="仿宋_GB2312" w:eastAsia="仿宋_GB2312" w:cs="仿宋_GB2312"/>
                <w:color w:val="000000"/>
                <w:kern w:val="0"/>
                <w:szCs w:val="21"/>
              </w:rPr>
              <w:t>三、工艺要求</w:t>
            </w:r>
            <w:r>
              <w:rPr>
                <w:rFonts w:hint="eastAsia" w:ascii="仿宋_GB2312" w:hAnsi="仿宋_GB2312" w:eastAsia="仿宋_GB2312" w:cs="仿宋_GB2312"/>
                <w:color w:val="000000"/>
                <w:kern w:val="0"/>
                <w:szCs w:val="21"/>
              </w:rPr>
              <w:br w:type="textWrapping"/>
            </w:r>
            <w:r>
              <w:rPr>
                <w:rFonts w:hint="eastAsia" w:ascii="仿宋_GB2312" w:hAnsi="仿宋_GB2312" w:eastAsia="仿宋_GB2312" w:cs="仿宋_GB2312"/>
                <w:color w:val="000000"/>
                <w:kern w:val="0"/>
                <w:szCs w:val="21"/>
              </w:rPr>
              <w:t>1、脚套：封头为优质 PP 塑料套。</w:t>
            </w:r>
            <w:r>
              <w:rPr>
                <w:rFonts w:hint="eastAsia" w:ascii="仿宋_GB2312" w:hAnsi="仿宋_GB2312" w:eastAsia="仿宋_GB2312" w:cs="仿宋_GB2312"/>
                <w:color w:val="000000"/>
                <w:kern w:val="0"/>
                <w:szCs w:val="21"/>
              </w:rPr>
              <w:br w:type="textWrapping"/>
            </w:r>
            <w:r>
              <w:rPr>
                <w:rFonts w:hint="eastAsia" w:ascii="仿宋_GB2312" w:hAnsi="仿宋_GB2312" w:eastAsia="仿宋_GB2312" w:cs="仿宋_GB2312"/>
                <w:color w:val="000000"/>
                <w:kern w:val="0"/>
                <w:szCs w:val="21"/>
              </w:rPr>
              <w:t>2、焊接：采用二氧化碳保护焊接工艺进行焊接，焊接表面波纹均匀，焊接处无夹渣、气孔、焊瘤，保证无脱焊、虚焊、焊穿等现象。</w:t>
            </w:r>
          </w:p>
        </w:tc>
        <w:tc>
          <w:tcPr>
            <w:tcW w:w="719" w:type="dxa"/>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张</w:t>
            </w:r>
          </w:p>
        </w:tc>
        <w:tc>
          <w:tcPr>
            <w:tcW w:w="708" w:type="dxa"/>
            <w:vAlign w:val="center"/>
          </w:tcPr>
          <w:p>
            <w:pPr>
              <w:widowControl/>
              <w:jc w:val="center"/>
              <w:textAlignment w:val="center"/>
              <w:rPr>
                <w:rFonts w:ascii="仿宋_GB2312" w:hAnsi="仿宋_GB2312" w:eastAsia="仿宋_GB2312" w:cs="仿宋_GB2312"/>
                <w:color w:val="000000"/>
                <w:kern w:val="0"/>
                <w:szCs w:val="21"/>
              </w:rPr>
            </w:pPr>
            <w:r>
              <w:rPr>
                <w:rFonts w:hint="eastAsia" w:ascii="仿宋" w:hAnsi="仿宋" w:eastAsia="仿宋" w:cs="仿宋"/>
                <w:color w:val="auto"/>
                <w:kern w:val="0"/>
                <w:sz w:val="24"/>
                <w:szCs w:val="24"/>
                <w:lang w:val="en-US" w:eastAsia="zh-CN"/>
              </w:rPr>
              <w:t>2275</w:t>
            </w:r>
          </w:p>
        </w:tc>
        <w:tc>
          <w:tcPr>
            <w:tcW w:w="696" w:type="dxa"/>
            <w:vAlign w:val="center"/>
          </w:tcPr>
          <w:p>
            <w:pPr>
              <w:widowControl/>
              <w:jc w:val="center"/>
              <w:textAlignment w:val="center"/>
              <w:rPr>
                <w:rFonts w:hint="default" w:ascii="仿宋_GB2312" w:hAnsi="仿宋_GB2312" w:eastAsia="仿宋_GB2312" w:cs="仿宋_GB2312"/>
                <w:color w:val="000000"/>
                <w:kern w:val="0"/>
                <w:szCs w:val="21"/>
                <w:lang w:val="en-US" w:eastAsia="zh-CN"/>
              </w:rPr>
            </w:pPr>
          </w:p>
        </w:tc>
        <w:tc>
          <w:tcPr>
            <w:tcW w:w="829" w:type="dxa"/>
            <w:vAlign w:val="center"/>
          </w:tcPr>
          <w:p>
            <w:pPr>
              <w:widowControl/>
              <w:jc w:val="center"/>
              <w:textAlignment w:val="center"/>
              <w:rPr>
                <w:rFonts w:ascii="仿宋_GB2312" w:hAnsi="仿宋_GB2312" w:eastAsia="仿宋_GB2312"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vAlign w:val="center"/>
          </w:tcPr>
          <w:p>
            <w:pPr>
              <w:widowControl/>
              <w:jc w:val="center"/>
              <w:textAlignment w:val="center"/>
              <w:rPr>
                <w:rFonts w:hint="eastAsia"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3</w:t>
            </w:r>
          </w:p>
        </w:tc>
        <w:tc>
          <w:tcPr>
            <w:tcW w:w="1121" w:type="dxa"/>
            <w:vAlign w:val="center"/>
          </w:tcPr>
          <w:p>
            <w:pPr>
              <w:widowControl/>
              <w:jc w:val="center"/>
              <w:textAlignment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便携式扩音器</w:t>
            </w:r>
          </w:p>
        </w:tc>
        <w:tc>
          <w:tcPr>
            <w:tcW w:w="9447" w:type="dxa"/>
            <w:vAlign w:val="center"/>
          </w:tcPr>
          <w:p>
            <w:pPr>
              <w:widowControl/>
              <w:jc w:val="left"/>
              <w:textAlignment w:val="center"/>
              <w:rPr>
                <w:rFonts w:hint="eastAsia"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1.采用2200mAh及以上锂电池，配备精准的电池管理；</w:t>
            </w:r>
          </w:p>
          <w:p>
            <w:pPr>
              <w:pStyle w:val="2"/>
              <w:numPr>
                <w:ilvl w:val="0"/>
                <w:numId w:val="0"/>
              </w:numPr>
              <w:ind w:leftChars="0"/>
              <w:jc w:val="left"/>
              <w:rPr>
                <w:rFonts w:hint="eastAsia" w:ascii="仿宋_GB2312" w:hAnsi="仿宋_GB2312" w:eastAsia="仿宋_GB2312" w:cs="仿宋_GB2312"/>
                <w:bCs w:val="0"/>
                <w:color w:val="000000"/>
                <w:kern w:val="0"/>
                <w:sz w:val="21"/>
                <w:szCs w:val="21"/>
                <w:lang w:val="en-US" w:eastAsia="zh-CN" w:bidi="ar-SA"/>
              </w:rPr>
            </w:pPr>
            <w:r>
              <w:rPr>
                <w:rFonts w:hint="eastAsia" w:ascii="仿宋_GB2312" w:hAnsi="仿宋_GB2312" w:eastAsia="仿宋_GB2312" w:cs="仿宋_GB2312"/>
                <w:bCs w:val="0"/>
                <w:color w:val="000000"/>
                <w:kern w:val="0"/>
                <w:sz w:val="21"/>
                <w:szCs w:val="21"/>
                <w:lang w:val="en-US" w:eastAsia="zh-CN" w:bidi="ar-SA"/>
              </w:rPr>
              <w:t>2.可续航25小时及以上；</w:t>
            </w:r>
          </w:p>
          <w:p>
            <w:pPr>
              <w:numPr>
                <w:ilvl w:val="0"/>
                <w:numId w:val="0"/>
              </w:numPr>
              <w:ind w:leftChars="0"/>
              <w:rPr>
                <w:rFonts w:hint="default" w:ascii="仿宋_GB2312" w:hAnsi="仿宋_GB2312" w:eastAsia="仿宋_GB2312" w:cs="仿宋_GB2312"/>
                <w:bCs w:val="0"/>
                <w:color w:val="000000"/>
                <w:kern w:val="0"/>
                <w:sz w:val="21"/>
                <w:szCs w:val="21"/>
                <w:lang w:val="en-US" w:eastAsia="zh-CN" w:bidi="ar-SA"/>
              </w:rPr>
            </w:pPr>
            <w:r>
              <w:rPr>
                <w:rFonts w:hint="eastAsia" w:ascii="仿宋_GB2312" w:hAnsi="仿宋_GB2312" w:eastAsia="仿宋_GB2312" w:cs="仿宋_GB2312"/>
                <w:bCs w:val="0"/>
                <w:color w:val="000000"/>
                <w:kern w:val="0"/>
                <w:sz w:val="21"/>
                <w:szCs w:val="21"/>
                <w:lang w:val="en-US" w:eastAsia="zh-CN" w:bidi="ar-SA"/>
              </w:rPr>
              <w:t>3.标配9.7mm直径大咪头；</w:t>
            </w:r>
          </w:p>
          <w:p>
            <w:pPr>
              <w:pStyle w:val="2"/>
              <w:jc w:val="left"/>
              <w:rPr>
                <w:rFonts w:hint="eastAsia" w:ascii="仿宋_GB2312" w:hAnsi="仿宋_GB2312" w:eastAsia="仿宋_GB2312" w:cs="仿宋_GB2312"/>
                <w:bCs w:val="0"/>
                <w:color w:val="000000"/>
                <w:kern w:val="0"/>
                <w:sz w:val="21"/>
                <w:szCs w:val="21"/>
                <w:lang w:val="en-US" w:eastAsia="zh-CN" w:bidi="ar-SA"/>
              </w:rPr>
            </w:pPr>
            <w:r>
              <w:rPr>
                <w:rFonts w:hint="eastAsia" w:ascii="仿宋_GB2312" w:hAnsi="仿宋_GB2312" w:eastAsia="仿宋_GB2312" w:cs="仿宋_GB2312"/>
                <w:bCs w:val="0"/>
                <w:color w:val="000000"/>
                <w:kern w:val="0"/>
                <w:sz w:val="21"/>
                <w:szCs w:val="21"/>
                <w:lang w:val="en-US" w:eastAsia="zh-CN" w:bidi="ar-SA"/>
              </w:rPr>
              <w:t>4.line in 音频输入，可兼容笔记本/电脑、平板电脑、手机等设备。</w:t>
            </w:r>
          </w:p>
          <w:p>
            <w:pPr>
              <w:rPr>
                <w:rFonts w:hint="default"/>
                <w:lang w:val="en-US" w:eastAsia="zh-CN"/>
              </w:rPr>
            </w:pPr>
            <w:r>
              <w:rPr>
                <w:rFonts w:hint="eastAsia" w:ascii="仿宋_GB2312" w:hAnsi="仿宋_GB2312" w:eastAsia="仿宋_GB2312" w:cs="仿宋_GB2312"/>
                <w:bCs w:val="0"/>
                <w:color w:val="000000"/>
                <w:kern w:val="0"/>
                <w:sz w:val="21"/>
                <w:szCs w:val="21"/>
                <w:lang w:val="en-US" w:eastAsia="zh-CN" w:bidi="ar-SA"/>
              </w:rPr>
              <w:t>5.配有扩音器、接收器、USB电源线、挂带等各一个。</w:t>
            </w:r>
          </w:p>
        </w:tc>
        <w:tc>
          <w:tcPr>
            <w:tcW w:w="719" w:type="dxa"/>
            <w:vAlign w:val="center"/>
          </w:tcPr>
          <w:p>
            <w:pPr>
              <w:widowControl/>
              <w:jc w:val="center"/>
              <w:textAlignment w:val="center"/>
              <w:rPr>
                <w:rFonts w:hint="eastAsia"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台</w:t>
            </w:r>
          </w:p>
        </w:tc>
        <w:tc>
          <w:tcPr>
            <w:tcW w:w="708" w:type="dxa"/>
            <w:vAlign w:val="center"/>
          </w:tcPr>
          <w:p>
            <w:pPr>
              <w:widowControl/>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50</w:t>
            </w:r>
          </w:p>
        </w:tc>
        <w:tc>
          <w:tcPr>
            <w:tcW w:w="696" w:type="dxa"/>
            <w:vAlign w:val="center"/>
          </w:tcPr>
          <w:p>
            <w:pPr>
              <w:widowControl/>
              <w:jc w:val="center"/>
              <w:textAlignment w:val="center"/>
              <w:rPr>
                <w:rFonts w:hint="default" w:ascii="仿宋_GB2312" w:hAnsi="仿宋_GB2312" w:eastAsia="仿宋_GB2312" w:cs="仿宋_GB2312"/>
                <w:color w:val="000000"/>
                <w:kern w:val="0"/>
                <w:szCs w:val="21"/>
                <w:lang w:val="en-US" w:eastAsia="zh-CN"/>
              </w:rPr>
            </w:pPr>
          </w:p>
        </w:tc>
        <w:tc>
          <w:tcPr>
            <w:tcW w:w="829" w:type="dxa"/>
            <w:vAlign w:val="center"/>
          </w:tcPr>
          <w:p>
            <w:pPr>
              <w:widowControl/>
              <w:jc w:val="center"/>
              <w:textAlignment w:val="center"/>
              <w:rPr>
                <w:rFonts w:hint="default"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258" w:type="dxa"/>
            <w:gridSpan w:val="3"/>
            <w:vAlign w:val="center"/>
          </w:tcPr>
          <w:p>
            <w:pPr>
              <w:widowControl/>
              <w:jc w:val="center"/>
              <w:textAlignment w:val="center"/>
              <w:rPr>
                <w:rFonts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合计</w:t>
            </w:r>
          </w:p>
        </w:tc>
        <w:tc>
          <w:tcPr>
            <w:tcW w:w="719" w:type="dxa"/>
            <w:vAlign w:val="center"/>
          </w:tcPr>
          <w:p>
            <w:pPr>
              <w:widowControl/>
              <w:jc w:val="center"/>
              <w:textAlignment w:val="center"/>
              <w:rPr>
                <w:rFonts w:ascii="仿宋_GB2312" w:hAnsi="仿宋_GB2312" w:eastAsia="仿宋_GB2312" w:cs="仿宋_GB2312"/>
                <w:b/>
                <w:bCs/>
                <w:color w:val="000000"/>
                <w:kern w:val="0"/>
                <w:szCs w:val="21"/>
              </w:rPr>
            </w:pPr>
          </w:p>
        </w:tc>
        <w:tc>
          <w:tcPr>
            <w:tcW w:w="708" w:type="dxa"/>
            <w:vAlign w:val="center"/>
          </w:tcPr>
          <w:p>
            <w:pPr>
              <w:widowControl/>
              <w:jc w:val="center"/>
              <w:textAlignment w:val="center"/>
              <w:rPr>
                <w:rFonts w:ascii="仿宋_GB2312" w:hAnsi="仿宋_GB2312" w:eastAsia="仿宋_GB2312" w:cs="仿宋_GB2312"/>
                <w:b/>
                <w:bCs/>
                <w:color w:val="000000"/>
                <w:kern w:val="0"/>
                <w:szCs w:val="21"/>
              </w:rPr>
            </w:pPr>
          </w:p>
        </w:tc>
        <w:tc>
          <w:tcPr>
            <w:tcW w:w="696" w:type="dxa"/>
            <w:vAlign w:val="center"/>
          </w:tcPr>
          <w:p>
            <w:pPr>
              <w:widowControl/>
              <w:jc w:val="center"/>
              <w:textAlignment w:val="center"/>
              <w:rPr>
                <w:rFonts w:ascii="仿宋_GB2312" w:hAnsi="仿宋_GB2312" w:eastAsia="仿宋_GB2312" w:cs="仿宋_GB2312"/>
                <w:b/>
                <w:bCs/>
                <w:color w:val="000000"/>
                <w:kern w:val="0"/>
                <w:szCs w:val="21"/>
              </w:rPr>
            </w:pPr>
          </w:p>
        </w:tc>
        <w:tc>
          <w:tcPr>
            <w:tcW w:w="829" w:type="dxa"/>
            <w:vAlign w:val="center"/>
          </w:tcPr>
          <w:p>
            <w:pPr>
              <w:widowControl/>
              <w:jc w:val="center"/>
              <w:textAlignment w:val="center"/>
              <w:rPr>
                <w:rFonts w:ascii="仿宋_GB2312" w:hAnsi="仿宋_GB2312" w:eastAsia="仿宋_GB2312" w:cs="仿宋_GB2312"/>
                <w:b/>
                <w:bCs/>
                <w:color w:val="000000"/>
                <w:kern w:val="0"/>
                <w:szCs w:val="21"/>
              </w:rPr>
            </w:pP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4Mzk4ZWRkZmMyOTU3MTllNTRmYjI2NWMyYzNkODkifQ=="/>
  </w:docVars>
  <w:rsids>
    <w:rsidRoot w:val="00B514D0"/>
    <w:rsid w:val="000B4ABB"/>
    <w:rsid w:val="002846A2"/>
    <w:rsid w:val="00767513"/>
    <w:rsid w:val="00B514D0"/>
    <w:rsid w:val="00CA613C"/>
    <w:rsid w:val="02951EDC"/>
    <w:rsid w:val="033D6C49"/>
    <w:rsid w:val="04B10524"/>
    <w:rsid w:val="06695390"/>
    <w:rsid w:val="06AE3E0A"/>
    <w:rsid w:val="06B2679F"/>
    <w:rsid w:val="073B64BD"/>
    <w:rsid w:val="07F13FAE"/>
    <w:rsid w:val="087E0481"/>
    <w:rsid w:val="08D062B9"/>
    <w:rsid w:val="0AF0679F"/>
    <w:rsid w:val="0B0D7F86"/>
    <w:rsid w:val="0B9C1B14"/>
    <w:rsid w:val="0C7156BE"/>
    <w:rsid w:val="0EF920CC"/>
    <w:rsid w:val="0F1E7653"/>
    <w:rsid w:val="0F914234"/>
    <w:rsid w:val="0FF02789"/>
    <w:rsid w:val="10FB40F0"/>
    <w:rsid w:val="13913395"/>
    <w:rsid w:val="13BF7656"/>
    <w:rsid w:val="15481E95"/>
    <w:rsid w:val="168D7598"/>
    <w:rsid w:val="17B81C9F"/>
    <w:rsid w:val="182716FC"/>
    <w:rsid w:val="1AFD24D1"/>
    <w:rsid w:val="1B281F85"/>
    <w:rsid w:val="1D064333"/>
    <w:rsid w:val="1DDC3A3A"/>
    <w:rsid w:val="1DFD71F5"/>
    <w:rsid w:val="1E242665"/>
    <w:rsid w:val="22910410"/>
    <w:rsid w:val="23607DE2"/>
    <w:rsid w:val="241906BD"/>
    <w:rsid w:val="24C60FF4"/>
    <w:rsid w:val="250D7AF6"/>
    <w:rsid w:val="266061AF"/>
    <w:rsid w:val="278D0E9D"/>
    <w:rsid w:val="28164F13"/>
    <w:rsid w:val="283453B9"/>
    <w:rsid w:val="2A125C2A"/>
    <w:rsid w:val="2AA9206F"/>
    <w:rsid w:val="2B810E18"/>
    <w:rsid w:val="2B8A1EA0"/>
    <w:rsid w:val="31B47E6B"/>
    <w:rsid w:val="329A6DF0"/>
    <w:rsid w:val="33022C64"/>
    <w:rsid w:val="340E7A8D"/>
    <w:rsid w:val="354A0F90"/>
    <w:rsid w:val="356934B3"/>
    <w:rsid w:val="358A16AE"/>
    <w:rsid w:val="365001FC"/>
    <w:rsid w:val="381F1BC2"/>
    <w:rsid w:val="3A26309A"/>
    <w:rsid w:val="3A95616C"/>
    <w:rsid w:val="3BA86AE9"/>
    <w:rsid w:val="3BB15227"/>
    <w:rsid w:val="3CBC78B5"/>
    <w:rsid w:val="3D8726E3"/>
    <w:rsid w:val="3EF32C54"/>
    <w:rsid w:val="41190CC1"/>
    <w:rsid w:val="47A143A2"/>
    <w:rsid w:val="47BE6F47"/>
    <w:rsid w:val="48BF0F83"/>
    <w:rsid w:val="48CF779A"/>
    <w:rsid w:val="491F1A22"/>
    <w:rsid w:val="494B6CBB"/>
    <w:rsid w:val="4B38326F"/>
    <w:rsid w:val="4F2C45ED"/>
    <w:rsid w:val="4F920AB3"/>
    <w:rsid w:val="4FBE01E7"/>
    <w:rsid w:val="500B4368"/>
    <w:rsid w:val="50414974"/>
    <w:rsid w:val="51B31176"/>
    <w:rsid w:val="51BD4D47"/>
    <w:rsid w:val="520039D2"/>
    <w:rsid w:val="53050280"/>
    <w:rsid w:val="58951FC6"/>
    <w:rsid w:val="58C223CA"/>
    <w:rsid w:val="59D2608F"/>
    <w:rsid w:val="5BE31E0F"/>
    <w:rsid w:val="5CB169DD"/>
    <w:rsid w:val="5D0F5F3C"/>
    <w:rsid w:val="5ECB7936"/>
    <w:rsid w:val="60803296"/>
    <w:rsid w:val="679A496D"/>
    <w:rsid w:val="67CA7017"/>
    <w:rsid w:val="6A684EA5"/>
    <w:rsid w:val="6D090170"/>
    <w:rsid w:val="6E7A3414"/>
    <w:rsid w:val="72D51220"/>
    <w:rsid w:val="7327134F"/>
    <w:rsid w:val="750556C0"/>
    <w:rsid w:val="75483B75"/>
    <w:rsid w:val="77425241"/>
    <w:rsid w:val="79B37DE1"/>
    <w:rsid w:val="7A4B00F1"/>
    <w:rsid w:val="7CCC223C"/>
    <w:rsid w:val="7DFF53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9"/>
    <w:pPr>
      <w:keepNext/>
      <w:keepLines/>
      <w:jc w:val="center"/>
      <w:outlineLvl w:val="1"/>
    </w:pPr>
    <w:rPr>
      <w:rFonts w:ascii="Cambria" w:hAnsi="Cambria" w:eastAsia="方正小标宋简体"/>
      <w:bCs/>
      <w:kern w:val="0"/>
      <w:sz w:val="28"/>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style>
  <w:style w:type="paragraph" w:styleId="4">
    <w:name w:val="Balloon Text"/>
    <w:basedOn w:val="1"/>
    <w:link w:val="16"/>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正文-公1"/>
    <w:basedOn w:val="11"/>
    <w:next w:val="1"/>
    <w:qFormat/>
    <w:uiPriority w:val="4"/>
    <w:pPr>
      <w:ind w:firstLine="200" w:firstLineChars="200"/>
    </w:pPr>
  </w:style>
  <w:style w:type="paragraph" w:customStyle="1" w:styleId="1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2">
    <w:name w:val="fontstyle01"/>
    <w:qFormat/>
    <w:uiPriority w:val="0"/>
    <w:rPr>
      <w:rFonts w:hint="eastAsia" w:ascii="宋体" w:hAnsi="宋体" w:eastAsia="宋体"/>
      <w:color w:val="000000"/>
      <w:sz w:val="28"/>
      <w:szCs w:val="28"/>
    </w:rPr>
  </w:style>
  <w:style w:type="paragraph" w:styleId="13">
    <w:name w:val="List Paragraph"/>
    <w:basedOn w:val="1"/>
    <w:qFormat/>
    <w:uiPriority w:val="99"/>
    <w:pPr>
      <w:ind w:firstLine="420" w:firstLineChars="200"/>
    </w:pPr>
  </w:style>
  <w:style w:type="character" w:customStyle="1" w:styleId="14">
    <w:name w:val="页眉 Char"/>
    <w:link w:val="6"/>
    <w:qFormat/>
    <w:uiPriority w:val="99"/>
    <w:rPr>
      <w:sz w:val="18"/>
      <w:szCs w:val="18"/>
    </w:rPr>
  </w:style>
  <w:style w:type="paragraph" w:customStyle="1" w:styleId="15">
    <w:name w:val="内文1"/>
    <w:basedOn w:val="1"/>
    <w:qFormat/>
    <w:uiPriority w:val="0"/>
    <w:pPr>
      <w:adjustRightInd w:val="0"/>
      <w:snapToGrid w:val="0"/>
      <w:spacing w:beforeLines="30" w:afterLines="30" w:line="300" w:lineRule="atLeast"/>
      <w:ind w:left="1038"/>
    </w:pPr>
    <w:rPr>
      <w:rFonts w:ascii="Arial" w:hAnsi="Arial" w:cs="Arial"/>
      <w:sz w:val="20"/>
      <w:szCs w:val="20"/>
    </w:rPr>
  </w:style>
  <w:style w:type="character" w:customStyle="1" w:styleId="16">
    <w:name w:val="批注框文本 Char"/>
    <w:basedOn w:val="9"/>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896</Words>
  <Characters>1144</Characters>
  <Lines>59</Lines>
  <Paragraphs>16</Paragraphs>
  <TotalTime>3</TotalTime>
  <ScaleCrop>false</ScaleCrop>
  <LinksUpToDate>false</LinksUpToDate>
  <CharactersWithSpaces>1161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2022-05-23T14:37:00Z</dcterms:created>
  <dc:creator>YT1</dc:creator>
  <cp:lastModifiedBy>佐蒽</cp:lastModifiedBy>
  <dcterms:modified xsi:type="dcterms:W3CDTF">2023-04-12T02:27:12Z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9D44114D8ED34C3A85C3DD06A4BEC523</vt:lpwstr>
  </property>
</Properties>
</file>