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黔东南州工业学校（黔东南技师学院）新校区第三批学生公寓床采购项目（设立黔东南理工职业学院第三批学生公寓床采购项目）</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宋体" w:hAnsi="宋体"/>
          <w:sz w:val="24"/>
          <w:szCs w:val="24"/>
        </w:rPr>
      </w:pPr>
      <w:r>
        <w:rPr>
          <w:rFonts w:hint="eastAsia" w:ascii="方正小标宋简体" w:hAnsi="方正小标宋简体" w:eastAsia="方正小标宋简体" w:cs="方正小标宋简体"/>
          <w:sz w:val="44"/>
          <w:szCs w:val="44"/>
          <w:lang w:val="en-US" w:eastAsia="zh-CN"/>
        </w:rPr>
        <w:t>采购清单（询价）</w:t>
      </w:r>
    </w:p>
    <w:tbl>
      <w:tblPr>
        <w:tblStyle w:val="8"/>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439"/>
        <w:gridCol w:w="1957"/>
        <w:gridCol w:w="1935"/>
        <w:gridCol w:w="900"/>
        <w:gridCol w:w="958"/>
        <w:gridCol w:w="1187"/>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439"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实训室</w:t>
            </w:r>
          </w:p>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名称</w:t>
            </w:r>
          </w:p>
        </w:tc>
        <w:tc>
          <w:tcPr>
            <w:tcW w:w="1957"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设备名称</w:t>
            </w:r>
          </w:p>
        </w:tc>
        <w:tc>
          <w:tcPr>
            <w:tcW w:w="1935"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技术参数</w:t>
            </w:r>
          </w:p>
        </w:tc>
        <w:tc>
          <w:tcPr>
            <w:tcW w:w="900"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958"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单位</w:t>
            </w:r>
          </w:p>
        </w:tc>
        <w:tc>
          <w:tcPr>
            <w:tcW w:w="1187"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lang w:val="en-US" w:eastAsia="zh-CN"/>
              </w:rPr>
              <w:t>参考单价</w:t>
            </w:r>
            <w:r>
              <w:rPr>
                <w:rFonts w:hint="eastAsia" w:ascii="仿宋" w:hAnsi="仿宋" w:eastAsia="仿宋" w:cs="仿宋"/>
                <w:b/>
                <w:bCs/>
                <w:sz w:val="24"/>
                <w:szCs w:val="24"/>
              </w:rPr>
              <w:t>（元）</w:t>
            </w:r>
          </w:p>
        </w:tc>
        <w:tc>
          <w:tcPr>
            <w:tcW w:w="1070"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31" w:type="dxa"/>
            <w:noWrap/>
            <w:vAlign w:val="center"/>
          </w:tcPr>
          <w:p>
            <w:pPr>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439"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学生公寓床</w:t>
            </w:r>
          </w:p>
        </w:tc>
        <w:tc>
          <w:tcPr>
            <w:tcW w:w="1957"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三人位公寓床（由三位组成）</w:t>
            </w:r>
          </w:p>
        </w:tc>
        <w:tc>
          <w:tcPr>
            <w:tcW w:w="1935" w:type="dxa"/>
            <w:noWrap/>
            <w:vAlign w:val="center"/>
          </w:tcPr>
          <w:p>
            <w:pPr>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900"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2463</w:t>
            </w:r>
          </w:p>
        </w:tc>
        <w:tc>
          <w:tcPr>
            <w:tcW w:w="958"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位</w:t>
            </w:r>
          </w:p>
        </w:tc>
        <w:tc>
          <w:tcPr>
            <w:tcW w:w="1187" w:type="dxa"/>
            <w:noWrap/>
            <w:vAlign w:val="center"/>
          </w:tcPr>
          <w:p>
            <w:pPr>
              <w:widowControl/>
              <w:jc w:val="center"/>
              <w:textAlignment w:val="center"/>
              <w:rPr>
                <w:rFonts w:hint="default" w:ascii="仿宋" w:hAnsi="仿宋" w:eastAsia="仿宋" w:cs="仿宋"/>
                <w:sz w:val="24"/>
                <w:szCs w:val="24"/>
                <w:lang w:val="en-US" w:eastAsia="zh-CN"/>
              </w:rPr>
            </w:pPr>
          </w:p>
        </w:tc>
        <w:tc>
          <w:tcPr>
            <w:tcW w:w="1070" w:type="dxa"/>
            <w:noWrap/>
            <w:vAlign w:val="center"/>
          </w:tcPr>
          <w:p>
            <w:pPr>
              <w:adjustRightInd w:val="0"/>
              <w:snapToGrid w:val="0"/>
              <w:spacing w:line="30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5962" w:type="dxa"/>
            <w:gridSpan w:val="4"/>
            <w:noWrap/>
            <w:vAlign w:val="center"/>
          </w:tcPr>
          <w:p>
            <w:pPr>
              <w:adjustRightInd w:val="0"/>
              <w:snapToGrid w:val="0"/>
              <w:spacing w:line="300" w:lineRule="exact"/>
              <w:jc w:val="center"/>
              <w:rPr>
                <w:rFonts w:ascii="仿宋" w:hAnsi="仿宋" w:eastAsia="仿宋" w:cs="仿宋"/>
                <w:b/>
                <w:sz w:val="24"/>
                <w:szCs w:val="24"/>
              </w:rPr>
            </w:pPr>
            <w:r>
              <w:rPr>
                <w:rFonts w:hint="eastAsia" w:ascii="仿宋" w:hAnsi="仿宋" w:eastAsia="仿宋" w:cs="仿宋"/>
                <w:b/>
                <w:sz w:val="24"/>
                <w:szCs w:val="24"/>
              </w:rPr>
              <w:t>总计</w:t>
            </w:r>
          </w:p>
        </w:tc>
        <w:tc>
          <w:tcPr>
            <w:tcW w:w="900" w:type="dxa"/>
            <w:noWrap/>
            <w:vAlign w:val="center"/>
          </w:tcPr>
          <w:p>
            <w:pPr>
              <w:adjustRightInd w:val="0"/>
              <w:snapToGrid w:val="0"/>
              <w:spacing w:line="300" w:lineRule="exact"/>
              <w:jc w:val="center"/>
              <w:rPr>
                <w:rFonts w:ascii="仿宋" w:hAnsi="仿宋" w:eastAsia="仿宋" w:cs="仿宋"/>
                <w:sz w:val="24"/>
                <w:szCs w:val="24"/>
              </w:rPr>
            </w:pPr>
          </w:p>
        </w:tc>
        <w:tc>
          <w:tcPr>
            <w:tcW w:w="958" w:type="dxa"/>
            <w:noWrap/>
            <w:vAlign w:val="center"/>
          </w:tcPr>
          <w:p>
            <w:pPr>
              <w:adjustRightInd w:val="0"/>
              <w:snapToGrid w:val="0"/>
              <w:spacing w:line="300" w:lineRule="exact"/>
              <w:jc w:val="center"/>
              <w:rPr>
                <w:rFonts w:ascii="仿宋" w:hAnsi="仿宋" w:eastAsia="仿宋" w:cs="仿宋"/>
                <w:sz w:val="24"/>
                <w:szCs w:val="24"/>
              </w:rPr>
            </w:pPr>
          </w:p>
        </w:tc>
        <w:tc>
          <w:tcPr>
            <w:tcW w:w="1187" w:type="dxa"/>
            <w:noWrap/>
            <w:vAlign w:val="center"/>
          </w:tcPr>
          <w:p>
            <w:pPr>
              <w:adjustRightInd w:val="0"/>
              <w:snapToGrid w:val="0"/>
              <w:spacing w:line="300" w:lineRule="exact"/>
              <w:jc w:val="center"/>
              <w:rPr>
                <w:rFonts w:ascii="仿宋" w:hAnsi="仿宋" w:eastAsia="仿宋" w:cs="仿宋"/>
                <w:sz w:val="24"/>
                <w:szCs w:val="24"/>
              </w:rPr>
            </w:pPr>
          </w:p>
        </w:tc>
        <w:tc>
          <w:tcPr>
            <w:tcW w:w="1070" w:type="dxa"/>
            <w:noWrap/>
            <w:vAlign w:val="center"/>
          </w:tcPr>
          <w:p>
            <w:pPr>
              <w:adjustRightInd w:val="0"/>
              <w:snapToGrid w:val="0"/>
              <w:spacing w:line="300" w:lineRule="exact"/>
              <w:jc w:val="center"/>
              <w:rPr>
                <w:rFonts w:ascii="仿宋" w:hAnsi="仿宋" w:eastAsia="仿宋" w:cs="仿宋"/>
                <w:b/>
                <w:bCs/>
                <w:sz w:val="24"/>
                <w:szCs w:val="24"/>
              </w:rPr>
            </w:pPr>
          </w:p>
        </w:tc>
      </w:tr>
    </w:tbl>
    <w:p>
      <w:r>
        <w:br w:type="page"/>
      </w:r>
    </w:p>
    <w:p>
      <w:pPr>
        <w:pStyle w:val="4"/>
        <w:sectPr>
          <w:pgSz w:w="11906" w:h="16838"/>
          <w:pgMar w:top="1440" w:right="1800" w:bottom="1440" w:left="1800" w:header="851" w:footer="992" w:gutter="0"/>
          <w:cols w:space="425" w:num="1"/>
          <w:docGrid w:type="lines" w:linePitch="312" w:charSpace="0"/>
        </w:sectPr>
      </w:pPr>
    </w:p>
    <w:p>
      <w:pPr>
        <w:pStyle w:val="11"/>
        <w:ind w:firstLine="0" w:firstLineChars="0"/>
        <w:rPr>
          <w:rFonts w:hint="default" w:eastAsia="宋体"/>
          <w:sz w:val="36"/>
          <w:szCs w:val="36"/>
          <w:lang w:val="en-US" w:eastAsia="zh-CN"/>
        </w:rPr>
      </w:pPr>
      <w:r>
        <w:rPr>
          <w:rFonts w:hint="eastAsia" w:ascii="宋体" w:hAnsi="宋体" w:cs="宋体"/>
          <w:b/>
          <w:bCs/>
          <w:color w:val="000000"/>
          <w:kern w:val="0"/>
          <w:sz w:val="36"/>
          <w:szCs w:val="36"/>
        </w:rPr>
        <w:t>附件</w:t>
      </w:r>
      <w:r>
        <w:rPr>
          <w:rFonts w:hint="eastAsia" w:ascii="宋体" w:hAnsi="宋体" w:cs="宋体"/>
          <w:b/>
          <w:bCs/>
          <w:color w:val="000000"/>
          <w:kern w:val="0"/>
          <w:sz w:val="36"/>
          <w:szCs w:val="36"/>
          <w:lang w:val="en-US" w:eastAsia="zh-CN"/>
        </w:rPr>
        <w:t>一</w:t>
      </w:r>
      <w:r>
        <w:rPr>
          <w:rFonts w:hint="eastAsia" w:ascii="宋体" w:hAnsi="宋体" w:cs="宋体"/>
          <w:b/>
          <w:bCs/>
          <w:color w:val="000000"/>
          <w:kern w:val="0"/>
          <w:sz w:val="36"/>
          <w:szCs w:val="36"/>
        </w:rPr>
        <w:t>：</w:t>
      </w:r>
      <w:r>
        <w:rPr>
          <w:rFonts w:hint="eastAsia" w:ascii="宋体" w:hAnsi="宋体" w:cs="宋体"/>
          <w:b/>
          <w:bCs/>
          <w:color w:val="000000"/>
          <w:kern w:val="0"/>
          <w:sz w:val="36"/>
          <w:szCs w:val="36"/>
          <w:lang w:val="en-US" w:eastAsia="zh-CN"/>
        </w:rPr>
        <w:t>学生公寓床</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87"/>
        <w:gridCol w:w="8492"/>
        <w:gridCol w:w="870"/>
        <w:gridCol w:w="750"/>
        <w:gridCol w:w="1116"/>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序号</w:t>
            </w:r>
          </w:p>
        </w:tc>
        <w:tc>
          <w:tcPr>
            <w:tcW w:w="1387"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产品名称</w:t>
            </w:r>
          </w:p>
        </w:tc>
        <w:tc>
          <w:tcPr>
            <w:tcW w:w="8492"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主要技术参数(规格)</w:t>
            </w:r>
          </w:p>
        </w:tc>
        <w:tc>
          <w:tcPr>
            <w:tcW w:w="87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both"/>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单位</w:t>
            </w:r>
          </w:p>
        </w:tc>
        <w:tc>
          <w:tcPr>
            <w:tcW w:w="75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数量</w:t>
            </w:r>
          </w:p>
        </w:tc>
        <w:tc>
          <w:tcPr>
            <w:tcW w:w="111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参考单价</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9"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 w:hAnsi="仿宋" w:eastAsia="仿宋" w:cs="仿宋"/>
                <w:sz w:val="24"/>
                <w:szCs w:val="24"/>
                <w:lang w:val="en-US" w:eastAsia="zh-CN"/>
              </w:rPr>
              <w:t>学生公寓床</w:t>
            </w:r>
          </w:p>
        </w:tc>
        <w:tc>
          <w:tcPr>
            <w:tcW w:w="8492" w:type="dxa"/>
            <w:noWrap w:val="0"/>
            <w:vAlign w:val="center"/>
          </w:tcPr>
          <w:p>
            <w:pPr>
              <w:pageBreakBefore w:val="0"/>
              <w:kinsoku/>
              <w:wordWrap/>
              <w:overflowPunct/>
              <w:topLinePunct w:val="0"/>
              <w:autoSpaceDE/>
              <w:autoSpaceDN/>
              <w:bidi w:val="0"/>
              <w:adjustRightInd/>
              <w:snapToGrid/>
              <w:spacing w:before="0" w:beforeAutospacing="0" w:after="0" w:afterAutospacing="0" w:line="400" w:lineRule="exact"/>
              <w:ind w:firstLine="422" w:firstLineChars="200"/>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一、</w:t>
            </w:r>
            <w:r>
              <w:rPr>
                <w:rFonts w:hint="eastAsia" w:ascii="仿宋_GB2312" w:hAnsi="仿宋_GB2312" w:eastAsia="仿宋_GB2312" w:cs="仿宋_GB2312"/>
                <w:b/>
                <w:bCs/>
              </w:rPr>
              <w:t>公寓床</w:t>
            </w:r>
            <w:r>
              <w:rPr>
                <w:rFonts w:hint="eastAsia" w:ascii="仿宋_GB2312" w:hAnsi="仿宋_GB2312" w:eastAsia="仿宋_GB2312" w:cs="仿宋_GB2312"/>
                <w:b/>
                <w:bCs/>
                <w:lang w:val="en-US" w:eastAsia="zh-CN"/>
              </w:rPr>
              <w:t>规格：长6000mm×宽900mm×高2100mm（误差值±30mm），</w:t>
            </w:r>
            <w:r>
              <w:rPr>
                <w:rFonts w:hint="eastAsia" w:ascii="仿宋_GB2312" w:hAnsi="仿宋_GB2312" w:eastAsia="仿宋_GB2312" w:cs="仿宋_GB2312"/>
                <w:b/>
                <w:bCs/>
              </w:rPr>
              <w:t>每位规格：长2000mm×宽900mm×高2</w:t>
            </w:r>
            <w:r>
              <w:rPr>
                <w:rFonts w:hint="eastAsia" w:ascii="仿宋_GB2312" w:hAnsi="仿宋_GB2312" w:eastAsia="仿宋_GB2312" w:cs="仿宋_GB2312"/>
                <w:b/>
                <w:bCs/>
                <w:lang w:val="en-US" w:eastAsia="zh-CN"/>
              </w:rPr>
              <w:t>100</w:t>
            </w:r>
            <w:r>
              <w:rPr>
                <w:rFonts w:hint="eastAsia" w:ascii="仿宋_GB2312" w:hAnsi="仿宋_GB2312" w:eastAsia="仿宋_GB2312" w:cs="仿宋_GB2312"/>
                <w:b/>
                <w:bCs/>
              </w:rPr>
              <w:t>mm（误差值±10mm）；</w:t>
            </w:r>
          </w:p>
          <w:p>
            <w:pPr>
              <w:pStyle w:val="11"/>
              <w:rPr>
                <w:rFonts w:hint="eastAsia" w:ascii="仿宋_GB2312" w:hAnsi="仿宋_GB2312" w:eastAsia="仿宋_GB2312" w:cs="仿宋_GB2312"/>
              </w:rPr>
            </w:pPr>
            <w:r>
              <w:rPr>
                <w:rFonts w:hint="eastAsia" w:ascii="仿宋_GB2312" w:hAnsi="仿宋_GB2312" w:eastAsia="仿宋_GB2312" w:cs="仿宋_GB2312"/>
              </w:rPr>
              <w:t>1、床边立柱：采用优质</w:t>
            </w:r>
            <w:r>
              <w:rPr>
                <w:rFonts w:hint="eastAsia" w:ascii="仿宋_GB2312" w:hAnsi="仿宋_GB2312" w:eastAsia="仿宋_GB2312" w:cs="仿宋_GB2312"/>
                <w:lang w:val="en-US" w:eastAsia="zh-CN"/>
              </w:rPr>
              <w:t>冷轧</w:t>
            </w:r>
            <w:r>
              <w:rPr>
                <w:rFonts w:hint="eastAsia" w:ascii="仿宋_GB2312" w:hAnsi="仿宋_GB2312" w:eastAsia="仿宋_GB2312" w:cs="仿宋_GB2312"/>
              </w:rPr>
              <w:t xml:space="preserve">钢板一次性轧制成型，其立面为中空异形（不用方管或圆管）成型后点焊为封口状，立柱正面为 L 型正角处弧形设计，成型后立面尺寸为 78mm×78mm， 侧面成型后尺寸为38mm*38mm， 中间向外角为半圆弧形。立柱向外两面表面各具有一大一小内凹的加强筋各一根（共 4 根），大筋22mm，中间具有花纹，小筋7mm；厚度为1.2mm；轧制成型后接口采用6处点焊连接，能有效避免立柱不会展开。（外观尺寸偏差范围允许±2mm）；立柱外形尺寸允许优于,其它要求须满足。     </w:t>
            </w:r>
          </w:p>
          <w:p>
            <w:pPr>
              <w:pStyle w:val="11"/>
              <w:rPr>
                <w:rFonts w:hint="eastAsia" w:ascii="仿宋_GB2312" w:hAnsi="仿宋_GB2312" w:eastAsia="仿宋_GB2312" w:cs="仿宋_GB2312"/>
              </w:rPr>
            </w:pPr>
            <w:r>
              <w:rPr>
                <w:rFonts w:hint="eastAsia" w:ascii="仿宋_GB2312" w:hAnsi="仿宋_GB2312" w:eastAsia="仿宋_GB2312" w:cs="仿宋_GB2312"/>
              </w:rPr>
              <w:t>2、床中立柱：选用冷轧钢板一次成型轧制而成的D型闭口异型材，成型后立面尺寸为78mm×62mm</w:t>
            </w:r>
            <w:r>
              <w:rPr>
                <w:rFonts w:hint="eastAsia" w:ascii="仿宋_GB2312" w:hAnsi="仿宋_GB2312" w:eastAsia="仿宋_GB2312" w:cs="仿宋_GB2312"/>
                <w:lang w:eastAsia="zh-CN"/>
              </w:rPr>
              <w:t>（</w:t>
            </w:r>
            <w:r>
              <w:rPr>
                <w:rFonts w:hint="eastAsia" w:ascii="仿宋_GB2312" w:hAnsi="仿宋_GB2312" w:eastAsia="仿宋_GB2312" w:cs="仿宋_GB2312"/>
              </w:rPr>
              <w:t>±2mm</w:t>
            </w:r>
            <w:r>
              <w:rPr>
                <w:rFonts w:hint="eastAsia" w:ascii="仿宋_GB2312" w:hAnsi="仿宋_GB2312" w:eastAsia="仿宋_GB2312" w:cs="仿宋_GB2312"/>
                <w:lang w:eastAsia="zh-CN"/>
              </w:rPr>
              <w:t>）</w:t>
            </w:r>
            <w:r>
              <w:rPr>
                <w:rFonts w:hint="eastAsia" w:ascii="仿宋_GB2312" w:hAnsi="仿宋_GB2312" w:eastAsia="仿宋_GB2312" w:cs="仿宋_GB2312"/>
              </w:rPr>
              <w:t>。为了加强立柱的牢固度和美观效果，立柱正面具有不少于两条宽度≥15mm的花纹。钢板厚度为≥1.2mm。</w:t>
            </w:r>
          </w:p>
          <w:p>
            <w:pPr>
              <w:pStyle w:val="11"/>
              <w:rPr>
                <w:rFonts w:hint="eastAsia" w:ascii="仿宋_GB2312" w:hAnsi="仿宋_GB2312" w:eastAsia="仿宋_GB2312" w:cs="仿宋_GB2312"/>
              </w:rPr>
            </w:pPr>
            <w:r>
              <w:rPr>
                <w:rFonts w:hint="eastAsia" w:ascii="仿宋_GB2312" w:hAnsi="仿宋_GB2312" w:eastAsia="仿宋_GB2312" w:cs="仿宋_GB2312"/>
              </w:rPr>
              <w:t>3、床长横梁：采用优质</w:t>
            </w:r>
            <w:r>
              <w:rPr>
                <w:rFonts w:hint="eastAsia" w:ascii="仿宋_GB2312" w:hAnsi="仿宋_GB2312" w:eastAsia="仿宋_GB2312" w:cs="仿宋_GB2312"/>
                <w:lang w:val="en-US" w:eastAsia="zh-CN"/>
              </w:rPr>
              <w:t>冷轧</w:t>
            </w:r>
            <w:r>
              <w:rPr>
                <w:rFonts w:hint="eastAsia" w:ascii="仿宋_GB2312" w:hAnsi="仿宋_GB2312" w:eastAsia="仿宋_GB2312" w:cs="仿宋_GB2312"/>
              </w:rPr>
              <w:t>钢板一次性轧制成型，其立面为中空异形，成型后立面尺寸为 85mm×36mm，正面有两条8mm 向内凹的加强筋，为了达到美观效果，靠外一面中间部位宽度达到43mm，并具有花纹。靠内一面预留32mm 开口，方面安装承接卡扣，向上一端倒8mm 折弯闭合，能有效保护学生安全。材料厚度为国标≥1.2mm。（外观尺寸偏差范围允许±2mm）；</w:t>
            </w:r>
          </w:p>
          <w:p>
            <w:pPr>
              <w:pStyle w:val="11"/>
              <w:rPr>
                <w:rFonts w:hint="eastAsia" w:ascii="仿宋_GB2312" w:hAnsi="仿宋_GB2312" w:eastAsia="仿宋_GB2312" w:cs="仿宋_GB2312"/>
              </w:rPr>
            </w:pPr>
            <w:r>
              <w:rPr>
                <w:rFonts w:hint="eastAsia" w:ascii="仿宋_GB2312" w:hAnsi="仿宋_GB2312" w:eastAsia="仿宋_GB2312" w:cs="仿宋_GB2312"/>
              </w:rPr>
              <w:t>4、床侧横梁：采用30*50mm优质方管，厚度为≥1.2mm；</w:t>
            </w:r>
          </w:p>
          <w:p>
            <w:pPr>
              <w:pStyle w:val="11"/>
              <w:rPr>
                <w:rFonts w:hint="eastAsia" w:ascii="仿宋_GB2312" w:hAnsi="仿宋_GB2312" w:eastAsia="仿宋_GB2312" w:cs="仿宋_GB2312"/>
              </w:rPr>
            </w:pPr>
            <w:r>
              <w:rPr>
                <w:rFonts w:hint="eastAsia" w:ascii="仿宋_GB2312" w:hAnsi="仿宋_GB2312" w:eastAsia="仿宋_GB2312" w:cs="仿宋_GB2312"/>
              </w:rPr>
              <w:t>5、护栏采用三个厚度≥1.2mm的连接件连接三根钢管。连接件采用冷轧钢板经磨具冲压成型,中间点焊成密封状，连接件整体向外凸出，为加强护栏与横梁焊接的牢固性，连接件下方预留“7”字型缺口方便与床横梁的上面和侧面同时焊接，连接件总高度353mm，不得有人工敲打和切割痕迹。左边连接件右侧表面、中间连接件两侧、右边连接件左侧表面经磨具冲压有三个孔洞以穿过钢管，左边连接件、右边连接件与钢管做焊接处理。上方钢管采用30*40mm壁厚≥1.2mm椭圆形钢管；中间钢管采用φ22*壁厚≥1.2mm圆形钢管；下方钢管采用27*30mm壁厚≥1.2mmD型钢管，为保证钢管不变形，D型钢管弧边处应有≥2条向内凹的加强筋。钢管与连接件的孔洞必须吻合，间隙不得超过1mm。护栏下方安装两块高度120mm厚18mm的E1级三聚氰胺饰面中纤板。前护栏整体长度≥1400mm，高度≥340mm（床板上沿到护栏上沿高度），整体护栏美观大方，安全实用。</w:t>
            </w:r>
          </w:p>
          <w:p>
            <w:pPr>
              <w:pStyle w:val="11"/>
              <w:rPr>
                <w:rFonts w:hint="eastAsia" w:ascii="仿宋_GB2312" w:hAnsi="仿宋_GB2312" w:eastAsia="仿宋_GB2312" w:cs="仿宋_GB2312"/>
              </w:rPr>
            </w:pPr>
            <w:r>
              <w:rPr>
                <w:rFonts w:hint="eastAsia" w:ascii="仿宋_GB2312" w:hAnsi="仿宋_GB2312" w:eastAsia="仿宋_GB2312" w:cs="仿宋_GB2312"/>
              </w:rPr>
              <w:t>6、侧护栏夏恒料采用25*50方管，上横料采用25mm圆管，竖料3根采用19mm碳素圆管焊接成型，壁厚1.2mm，立柱同栏栅采用采用焊接式连接，高度符合QB/T2741-2013《学生公寓多功能家具》文件要求。</w:t>
            </w:r>
          </w:p>
          <w:p>
            <w:pPr>
              <w:pStyle w:val="11"/>
              <w:rPr>
                <w:rFonts w:hint="eastAsia" w:ascii="仿宋_GB2312" w:hAnsi="仿宋_GB2312" w:eastAsia="仿宋_GB2312" w:cs="仿宋_GB2312"/>
              </w:rPr>
            </w:pPr>
            <w:r>
              <w:rPr>
                <w:rFonts w:hint="eastAsia" w:ascii="仿宋_GB2312" w:hAnsi="仿宋_GB2312" w:eastAsia="仿宋_GB2312" w:cs="仿宋_GB2312"/>
              </w:rPr>
              <w:t xml:space="preserve">7、爬梯：采用40mm*20mm*1.4mm 优质方管，踏板长390×最宽处80mm（最窄处60mm）×厚25mm（靠内侧15mm厚），壁厚度1.5mm，四周应有模具冲压成型的防滑凸纹，踏板经模具冲压成型，不允许焊接。爬梯与上长横梁采用螺丝连接,床爬梯脚下与床立柱连接固定。爬梯配有优质防滑内套。  </w:t>
            </w:r>
          </w:p>
          <w:p>
            <w:pPr>
              <w:pStyle w:val="11"/>
              <w:rPr>
                <w:rFonts w:hint="eastAsia" w:ascii="仿宋_GB2312" w:hAnsi="仿宋_GB2312" w:eastAsia="仿宋_GB2312" w:cs="仿宋_GB2312"/>
              </w:rPr>
            </w:pPr>
            <w:r>
              <w:rPr>
                <w:rFonts w:hint="eastAsia" w:ascii="仿宋_GB2312" w:hAnsi="仿宋_GB2312" w:eastAsia="仿宋_GB2312" w:cs="仿宋_GB2312"/>
              </w:rPr>
              <w:t>8、连接处挂钩为机械卡口连接：经冲床冲压成L型，需带三个连接卡口，床体采用挂件连接，材料厚度为1.5mm，不采用螺丝连接,床柱接地置塑料垫。</w:t>
            </w:r>
          </w:p>
          <w:p>
            <w:pPr>
              <w:pStyle w:val="11"/>
              <w:rPr>
                <w:rFonts w:hint="eastAsia" w:ascii="仿宋_GB2312" w:hAnsi="仿宋_GB2312" w:eastAsia="仿宋_GB2312" w:cs="仿宋_GB2312"/>
              </w:rPr>
            </w:pPr>
            <w:r>
              <w:rPr>
                <w:rFonts w:hint="eastAsia" w:ascii="仿宋_GB2312" w:hAnsi="仿宋_GB2312" w:eastAsia="仿宋_GB2312" w:cs="仿宋_GB2312"/>
              </w:rPr>
              <w:t>9、立柱上皮套应用塑料一次软性冲压成型，皮套自带有19mm圆型口子深度190mm增加牢固性。</w:t>
            </w:r>
          </w:p>
          <w:p>
            <w:pPr>
              <w:pStyle w:val="11"/>
              <w:rPr>
                <w:rFonts w:hint="eastAsia" w:ascii="仿宋_GB2312" w:hAnsi="仿宋_GB2312" w:eastAsia="仿宋_GB2312" w:cs="仿宋_GB2312"/>
              </w:rPr>
            </w:pPr>
            <w:r>
              <w:rPr>
                <w:rFonts w:hint="eastAsia" w:ascii="仿宋_GB2312" w:hAnsi="仿宋_GB2312" w:eastAsia="仿宋_GB2312" w:cs="仿宋_GB2312"/>
              </w:rPr>
              <w:t>10、床板托管采用5根25mm*25mm的方管制作。</w:t>
            </w:r>
          </w:p>
          <w:p>
            <w:pPr>
              <w:pStyle w:val="11"/>
              <w:rPr>
                <w:rFonts w:hint="eastAsia" w:ascii="仿宋_GB2312" w:hAnsi="仿宋_GB2312" w:eastAsia="仿宋_GB2312" w:cs="仿宋_GB2312"/>
              </w:rPr>
            </w:pPr>
            <w:r>
              <w:rPr>
                <w:rFonts w:hint="eastAsia" w:ascii="仿宋_GB2312" w:hAnsi="仿宋_GB2312" w:eastAsia="仿宋_GB2312" w:cs="仿宋_GB2312"/>
              </w:rPr>
              <w:t>11、床板：采用≥15㎜厚度的杉木板，空间按实际尺寸制作。</w:t>
            </w:r>
          </w:p>
          <w:p>
            <w:pPr>
              <w:pStyle w:val="11"/>
              <w:rPr>
                <w:rFonts w:hint="eastAsia" w:ascii="仿宋_GB2312" w:hAnsi="仿宋_GB2312" w:eastAsia="仿宋_GB2312" w:cs="仿宋_GB2312"/>
              </w:rPr>
            </w:pPr>
            <w:r>
              <w:rPr>
                <w:rFonts w:hint="eastAsia" w:ascii="仿宋_GB2312" w:hAnsi="仿宋_GB2312" w:eastAsia="仿宋_GB2312" w:cs="仿宋_GB2312"/>
              </w:rPr>
              <w:t>12、制造工艺：工艺要求：钢质部分表面经酸洗、磷化除油除锈处理后，环氧聚脂固体粉末全自动机械手高压静电喷涂，静电喷涂厚度需达到本行业执行标准的中等水平。（1）焊接： 二氧化碳保护焊，镀铜焊丝，国标标准。（2）焊接工艺：无灰渣、气孔、焊瘤；无脱焊、虚焊、焊穿；精细打磨，光洁平整；焊接满焊。</w:t>
            </w:r>
          </w:p>
          <w:p>
            <w:pPr>
              <w:ind w:firstLine="422" w:firstLineChars="200"/>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二、公寓柜规格：</w:t>
            </w:r>
          </w:p>
          <w:p>
            <w:pPr>
              <w:pStyle w:val="11"/>
              <w:rPr>
                <w:rFonts w:hint="eastAsia" w:ascii="仿宋_GB2312" w:hAnsi="仿宋_GB2312" w:eastAsia="仿宋_GB2312" w:cs="仿宋_GB2312"/>
              </w:rPr>
            </w:pPr>
            <w:r>
              <w:rPr>
                <w:rFonts w:hint="eastAsia" w:ascii="仿宋_GB2312" w:hAnsi="仿宋_GB2312" w:eastAsia="仿宋_GB2312" w:cs="仿宋_GB2312"/>
              </w:rPr>
              <w:t>1、尺寸：1880*600*1680mm（实际尺寸应与铁架床内空吻合）（误差值±</w:t>
            </w:r>
            <w:r>
              <w:rPr>
                <w:rFonts w:hint="eastAsia" w:ascii="仿宋_GB2312" w:hAnsi="仿宋_GB2312" w:eastAsia="仿宋_GB2312" w:cs="仿宋_GB2312"/>
                <w:lang w:val="en-US" w:eastAsia="zh-CN"/>
              </w:rPr>
              <w:t>5</w:t>
            </w:r>
            <w:r>
              <w:rPr>
                <w:rFonts w:hint="eastAsia" w:ascii="仿宋_GB2312" w:hAnsi="仿宋_GB2312" w:eastAsia="仿宋_GB2312" w:cs="仿宋_GB2312"/>
              </w:rPr>
              <w:t>mm）</w:t>
            </w:r>
          </w:p>
          <w:p>
            <w:pPr>
              <w:pStyle w:val="11"/>
              <w:rPr>
                <w:rFonts w:hint="eastAsia" w:ascii="仿宋_GB2312" w:hAnsi="仿宋_GB2312" w:eastAsia="仿宋_GB2312" w:cs="仿宋_GB2312"/>
                <w:lang w:eastAsia="zh-CN"/>
              </w:rPr>
            </w:pPr>
            <w:r>
              <w:rPr>
                <w:rFonts w:hint="eastAsia" w:ascii="仿宋_GB2312" w:hAnsi="仿宋_GB2312" w:eastAsia="仿宋_GB2312" w:cs="仿宋_GB2312"/>
              </w:rPr>
              <w:t>2、台面板材：长1200mm*宽600mm，厚度25mm的浸渍胶膜纸饰面实木多层板。</w:t>
            </w:r>
            <w:r>
              <w:rPr>
                <w:rFonts w:hint="eastAsia" w:ascii="仿宋_GB2312" w:hAnsi="仿宋_GB2312" w:eastAsia="仿宋_GB2312" w:cs="仿宋_GB2312"/>
                <w:lang w:eastAsia="zh-CN"/>
              </w:rPr>
              <w:t>（</w:t>
            </w:r>
            <w:r>
              <w:rPr>
                <w:rFonts w:hint="eastAsia" w:ascii="仿宋_GB2312" w:hAnsi="仿宋_GB2312" w:eastAsia="仿宋_GB2312" w:cs="仿宋_GB2312"/>
              </w:rPr>
              <w:t>±2mm</w:t>
            </w:r>
            <w:r>
              <w:rPr>
                <w:rFonts w:hint="eastAsia" w:ascii="仿宋_GB2312" w:hAnsi="仿宋_GB2312" w:eastAsia="仿宋_GB2312" w:cs="仿宋_GB2312"/>
                <w:lang w:eastAsia="zh-CN"/>
              </w:rPr>
              <w:t>）</w:t>
            </w:r>
          </w:p>
          <w:p>
            <w:pPr>
              <w:pStyle w:val="11"/>
              <w:rPr>
                <w:rFonts w:hint="eastAsia" w:ascii="仿宋_GB2312" w:hAnsi="仿宋_GB2312" w:eastAsia="仿宋_GB2312" w:cs="仿宋_GB2312"/>
              </w:rPr>
            </w:pPr>
            <w:r>
              <w:rPr>
                <w:rFonts w:hint="eastAsia" w:ascii="仿宋_GB2312" w:hAnsi="仿宋_GB2312" w:eastAsia="仿宋_GB2312" w:cs="仿宋_GB2312"/>
              </w:rPr>
              <w:t>3、整套组合家具除桌面板及背板外均采用厚度≥17mm的浸渍胶膜纸饰面实木多层板。</w:t>
            </w:r>
          </w:p>
          <w:p>
            <w:pPr>
              <w:pStyle w:val="11"/>
              <w:rPr>
                <w:rFonts w:hint="eastAsia" w:ascii="仿宋_GB2312" w:hAnsi="仿宋_GB2312" w:eastAsia="仿宋_GB2312" w:cs="仿宋_GB2312"/>
              </w:rPr>
            </w:pPr>
            <w:r>
              <w:rPr>
                <w:rFonts w:hint="eastAsia" w:ascii="仿宋_GB2312" w:hAnsi="仿宋_GB2312" w:eastAsia="仿宋_GB2312" w:cs="仿宋_GB2312"/>
              </w:rPr>
              <w:t>4、背板采用≥0.45mm厚E1级三聚氰胺饰面中纤板。</w:t>
            </w:r>
          </w:p>
          <w:p>
            <w:pPr>
              <w:pStyle w:val="11"/>
              <w:rPr>
                <w:rFonts w:hint="eastAsia" w:ascii="仿宋_GB2312" w:hAnsi="仿宋_GB2312" w:eastAsia="仿宋_GB2312" w:cs="仿宋_GB2312"/>
              </w:rPr>
            </w:pPr>
            <w:r>
              <w:rPr>
                <w:rFonts w:hint="eastAsia" w:ascii="仿宋_GB2312" w:hAnsi="仿宋_GB2312" w:eastAsia="仿宋_GB2312" w:cs="仿宋_GB2312"/>
              </w:rPr>
              <w:t>5、采用防潮pvc封边条，与柜体板面同色，厚度≥1.2mm，热熔胶封边而成(板露边处)，需达到平整、不炝边、受热受冻不会脱胶开裂的效果。</w:t>
            </w:r>
          </w:p>
          <w:p>
            <w:pPr>
              <w:pStyle w:val="11"/>
              <w:rPr>
                <w:rFonts w:hint="eastAsia" w:ascii="仿宋_GB2312" w:hAnsi="仿宋_GB2312" w:eastAsia="仿宋_GB2312" w:cs="仿宋_GB2312"/>
              </w:rPr>
            </w:pPr>
            <w:r>
              <w:rPr>
                <w:rFonts w:hint="eastAsia" w:ascii="仿宋_GB2312" w:hAnsi="仿宋_GB2312" w:eastAsia="仿宋_GB2312" w:cs="仿宋_GB2312"/>
              </w:rPr>
              <w:t>6、配件部分：</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w:t>
            </w:r>
            <w:r>
              <w:rPr>
                <w:rFonts w:hint="eastAsia" w:ascii="仿宋_GB2312" w:hAnsi="仿宋_GB2312" w:eastAsia="仿宋_GB2312" w:cs="仿宋_GB2312"/>
                <w:lang w:eastAsia="zh-CN"/>
              </w:rPr>
              <w:t>）</w:t>
            </w:r>
            <w:r>
              <w:rPr>
                <w:rFonts w:hint="eastAsia" w:ascii="仿宋_GB2312" w:hAnsi="仿宋_GB2312" w:eastAsia="仿宋_GB2312" w:cs="仿宋_GB2312"/>
              </w:rPr>
              <w:t>、铰链：书桌下柜门板采用液压缓冲阻尼铰链。</w:t>
            </w:r>
          </w:p>
          <w:p>
            <w:pPr>
              <w:pStyle w:val="11"/>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w:t>
            </w:r>
            <w:r>
              <w:rPr>
                <w:rFonts w:hint="eastAsia" w:ascii="仿宋_GB2312" w:hAnsi="仿宋_GB2312" w:eastAsia="仿宋_GB2312" w:cs="仿宋_GB2312"/>
              </w:rPr>
              <w:t>、抽屉导轨：采用优质阻尼导轨。</w:t>
            </w:r>
          </w:p>
          <w:p>
            <w:pPr>
              <w:pStyle w:val="11"/>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3</w:t>
            </w:r>
            <w:r>
              <w:rPr>
                <w:rFonts w:hint="eastAsia" w:ascii="仿宋_GB2312" w:hAnsi="仿宋_GB2312" w:eastAsia="仿宋_GB2312" w:cs="仿宋_GB2312"/>
                <w:lang w:eastAsia="zh-CN"/>
              </w:rPr>
              <w:t>）</w:t>
            </w:r>
            <w:r>
              <w:rPr>
                <w:rFonts w:hint="eastAsia" w:ascii="仿宋_GB2312" w:hAnsi="仿宋_GB2312" w:eastAsia="仿宋_GB2312" w:cs="仿宋_GB2312"/>
              </w:rPr>
              <w:t>、拉手锁扣：衣柜门和书桌抽屉采用优质拉手（柜门和书桌抽屉须有锁具）。</w:t>
            </w:r>
          </w:p>
          <w:p>
            <w:pPr>
              <w:pStyle w:val="11"/>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4</w:t>
            </w:r>
            <w:r>
              <w:rPr>
                <w:rFonts w:hint="eastAsia" w:ascii="仿宋_GB2312" w:hAnsi="仿宋_GB2312" w:eastAsia="仿宋_GB2312" w:cs="仿宋_GB2312"/>
                <w:lang w:eastAsia="zh-CN"/>
              </w:rPr>
              <w:t>）</w:t>
            </w:r>
            <w:r>
              <w:rPr>
                <w:rFonts w:hint="eastAsia" w:ascii="仿宋_GB2312" w:hAnsi="仿宋_GB2312" w:eastAsia="仿宋_GB2312" w:cs="仿宋_GB2312"/>
              </w:rPr>
              <w:t>衣柜上下两层设计，下层内配Φ19mm的304不锈钢挂衣杆，厚度≥1.0mm。</w:t>
            </w:r>
          </w:p>
          <w:p>
            <w:pPr>
              <w:pStyle w:val="11"/>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5</w:t>
            </w:r>
            <w:r>
              <w:rPr>
                <w:rFonts w:hint="eastAsia" w:ascii="仿宋_GB2312" w:hAnsi="仿宋_GB2312" w:eastAsia="仿宋_GB2312" w:cs="仿宋_GB2312"/>
                <w:lang w:eastAsia="zh-CN"/>
              </w:rPr>
              <w:t>）</w:t>
            </w:r>
            <w:r>
              <w:rPr>
                <w:rFonts w:hint="eastAsia" w:ascii="仿宋_GB2312" w:hAnsi="仿宋_GB2312" w:eastAsia="仿宋_GB2312" w:cs="仿宋_GB2312"/>
              </w:rPr>
              <w:t>衣柜下层挂衣杆材质为304不锈钢。</w:t>
            </w:r>
          </w:p>
          <w:p>
            <w:pPr>
              <w:pStyle w:val="11"/>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6</w:t>
            </w:r>
            <w:r>
              <w:rPr>
                <w:rFonts w:hint="eastAsia" w:ascii="仿宋_GB2312" w:hAnsi="仿宋_GB2312" w:eastAsia="仿宋_GB2312" w:cs="仿宋_GB2312"/>
                <w:lang w:eastAsia="zh-CN"/>
              </w:rPr>
              <w:t>）</w:t>
            </w:r>
            <w:r>
              <w:rPr>
                <w:rFonts w:hint="eastAsia" w:ascii="仿宋_GB2312" w:hAnsi="仿宋_GB2312" w:eastAsia="仿宋_GB2312" w:cs="仿宋_GB2312"/>
              </w:rPr>
              <w:t>螺丝：止退防松螺丝。</w:t>
            </w:r>
          </w:p>
          <w:p>
            <w:pPr>
              <w:pStyle w:val="11"/>
              <w:rPr>
                <w:rFonts w:hint="eastAsia" w:ascii="仿宋_GB2312" w:hAnsi="仿宋_GB2312" w:eastAsia="仿宋_GB2312" w:cs="仿宋_GB231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7</w:t>
            </w:r>
            <w:r>
              <w:rPr>
                <w:rFonts w:hint="eastAsia" w:ascii="仿宋_GB2312" w:hAnsi="仿宋_GB2312" w:eastAsia="仿宋_GB2312" w:cs="仿宋_GB2312"/>
                <w:lang w:eastAsia="zh-CN"/>
              </w:rPr>
              <w:t>）</w:t>
            </w:r>
            <w:r>
              <w:rPr>
                <w:rFonts w:hint="eastAsia" w:ascii="仿宋_GB2312" w:hAnsi="仿宋_GB2312" w:eastAsia="仿宋_GB2312" w:cs="仿宋_GB2312"/>
              </w:rPr>
              <w:t>衣柜及组合书柜连体制做，整套组合家具整体结构应稳固、不易摇晃、承受压力好。</w:t>
            </w:r>
          </w:p>
          <w:p>
            <w:pPr>
              <w:pStyle w:val="11"/>
              <w:rPr>
                <w:rFonts w:hint="eastAsia" w:ascii="仿宋_GB2312" w:hAnsi="仿宋_GB2312" w:eastAsia="仿宋_GB2312" w:cs="仿宋_GB2312"/>
              </w:rPr>
            </w:pPr>
            <w:r>
              <w:rPr>
                <w:rFonts w:hint="eastAsia" w:ascii="仿宋_GB2312" w:hAnsi="仿宋_GB2312" w:eastAsia="仿宋_GB2312" w:cs="仿宋_GB2312"/>
              </w:rPr>
              <w:t>7、家具底部安装脚垫，另配ABS工程塑料一次注塑成型的防水内套，整体采用≥20*20*1.0mm方管焊接成型，高度≥80mm。</w:t>
            </w:r>
          </w:p>
          <w:p>
            <w:pPr>
              <w:pStyle w:val="11"/>
              <w:rPr>
                <w:rFonts w:hint="eastAsia" w:ascii="仿宋_GB2312" w:hAnsi="仿宋_GB2312" w:eastAsia="仿宋_GB2312" w:cs="仿宋_GB2312"/>
              </w:rPr>
            </w:pPr>
            <w:r>
              <w:rPr>
                <w:rFonts w:hint="eastAsia" w:ascii="仿宋_GB2312" w:hAnsi="仿宋_GB2312" w:eastAsia="仿宋_GB2312" w:cs="仿宋_GB2312"/>
              </w:rPr>
              <w:t>8、柜子层板下方添加立板支撑，使层板承载力更强不易形变。</w:t>
            </w:r>
          </w:p>
          <w:p>
            <w:pPr>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三、公寓椅规格：</w:t>
            </w:r>
            <w:r>
              <w:rPr>
                <w:rFonts w:hint="eastAsia" w:ascii="仿宋_GB2312" w:hAnsi="仿宋_GB2312" w:eastAsia="仿宋_GB2312" w:cs="仿宋_GB2312"/>
                <w:b/>
                <w:bCs/>
              </w:rPr>
              <w:t>总参考尺寸：388*390*450mm（误差值5mm）</w:t>
            </w:r>
          </w:p>
          <w:p>
            <w:pPr>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座板规格：靠背上宽435mm*高260mm（误差值±5mm）</w:t>
            </w:r>
          </w:p>
          <w:p>
            <w:pPr>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材质和工艺：</w:t>
            </w:r>
            <w:bookmarkStart w:id="0" w:name="_GoBack"/>
            <w:bookmarkEnd w:id="0"/>
          </w:p>
          <w:p>
            <w:pPr>
              <w:ind w:firstLine="420" w:firstLineChars="200"/>
              <w:rPr>
                <w:rFonts w:hint="eastAsia" w:ascii="仿宋_GB2312" w:hAnsi="仿宋_GB2312" w:eastAsia="仿宋_GB2312" w:cs="仿宋_GB2312"/>
              </w:rPr>
            </w:pPr>
            <w:r>
              <w:rPr>
                <w:rFonts w:hint="eastAsia" w:ascii="仿宋_GB2312" w:hAnsi="仿宋_GB2312" w:eastAsia="仿宋_GB2312" w:cs="仿宋_GB2312"/>
              </w:rPr>
              <w:t>1. 采用HDPE高密度聚乙烯塑料颗粒，经吹塑模具一体中空吹塑成型，抗老化、耐磨耐冲压，四周及底部无毛边，光滑安全达到环保要求，添加塑料之色母，不含重金属及其他有毒有害物质。</w:t>
            </w:r>
          </w:p>
          <w:p>
            <w:pPr>
              <w:ind w:firstLine="420" w:firstLineChars="200"/>
              <w:rPr>
                <w:rFonts w:hint="eastAsia" w:ascii="仿宋_GB2312" w:hAnsi="仿宋_GB2312" w:eastAsia="仿宋_GB2312" w:cs="仿宋_GB2312"/>
              </w:rPr>
            </w:pPr>
            <w:r>
              <w:rPr>
                <w:rFonts w:hint="eastAsia" w:ascii="仿宋_GB2312" w:hAnsi="仿宋_GB2312" w:eastAsia="仿宋_GB2312" w:cs="仿宋_GB2312"/>
              </w:rPr>
              <w:t>2.座板规格宽388mm*深390mm（允许偏差±5mm）靠背板规格宽435mm*高260mm（允许偏差±5mm）采用优质PE塑料材料吹塑一次成型，座板表面防滑设计并配有透气孔，造型符合人体工程学，坐靠舒适，吹塑坐背板与铁架吻合，铁架采用30*50mm椭圆管，椅坐板背面预埋不少于4个螺帽，用于固定凳面。背板使用螺栓固定。耐寒耐磨，背板有扶手口，易于搬动，靠背与坐板材料一致。</w:t>
            </w:r>
          </w:p>
          <w:p>
            <w:pPr>
              <w:ind w:firstLine="420" w:firstLineChars="200"/>
              <w:rPr>
                <w:rFonts w:hint="eastAsia" w:ascii="仿宋_GB2312" w:hAnsi="仿宋_GB2312" w:eastAsia="仿宋_GB2312" w:cs="仿宋_GB2312"/>
              </w:rPr>
            </w:pPr>
            <w:r>
              <w:rPr>
                <w:rFonts w:hint="eastAsia" w:ascii="仿宋_GB2312" w:hAnsi="仿宋_GB2312" w:eastAsia="仿宋_GB2312" w:cs="仿宋_GB2312"/>
              </w:rPr>
              <w:t>3.椅子脚套使用增强塑料，耐寒耐磨。</w:t>
            </w:r>
          </w:p>
          <w:p>
            <w:pPr>
              <w:ind w:firstLine="420" w:firstLineChars="200"/>
              <w:rPr>
                <w:rFonts w:hint="eastAsia" w:ascii="仿宋_GB2312" w:hAnsi="仿宋_GB2312" w:eastAsia="仿宋_GB2312" w:cs="仿宋_GB2312"/>
              </w:rPr>
            </w:pPr>
            <w:r>
              <w:rPr>
                <w:rFonts w:hint="eastAsia" w:ascii="仿宋_GB2312" w:hAnsi="仿宋_GB2312" w:eastAsia="仿宋_GB2312" w:cs="仿宋_GB2312"/>
              </w:rPr>
              <w:t>4.产品包装：包装要规范，标识要齐全，说明要详细。生产和安装。</w:t>
            </w:r>
          </w:p>
          <w:p>
            <w:pPr>
              <w:rPr>
                <w:rFonts w:hint="eastAsia"/>
              </w:rPr>
            </w:pPr>
          </w:p>
          <w:p>
            <w:pPr>
              <w:pStyle w:val="2"/>
              <w:rPr>
                <w:rFonts w:hint="eastAsia"/>
              </w:rPr>
            </w:pPr>
            <w:r>
              <w:rPr>
                <w:lang w:val="zh-CN"/>
              </w:rPr>
              <w:drawing>
                <wp:anchor distT="0" distB="0" distL="114300" distR="114300" simplePos="0" relativeHeight="251659264" behindDoc="0" locked="0" layoutInCell="1" allowOverlap="1">
                  <wp:simplePos x="0" y="0"/>
                  <wp:positionH relativeFrom="column">
                    <wp:posOffset>39370</wp:posOffset>
                  </wp:positionH>
                  <wp:positionV relativeFrom="paragraph">
                    <wp:posOffset>50165</wp:posOffset>
                  </wp:positionV>
                  <wp:extent cx="5104765" cy="2912110"/>
                  <wp:effectExtent l="0" t="0" r="635" b="2540"/>
                  <wp:wrapNone/>
                  <wp:docPr id="2" name="图片 3" descr="fe70110eaf035c4fa732012da8540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fe70110eaf035c4fa732012da8540ee"/>
                          <pic:cNvPicPr>
                            <a:picLocks noChangeAspect="1"/>
                          </pic:cNvPicPr>
                        </pic:nvPicPr>
                        <pic:blipFill>
                          <a:blip r:embed="rId4"/>
                          <a:stretch>
                            <a:fillRect/>
                          </a:stretch>
                        </pic:blipFill>
                        <pic:spPr>
                          <a:xfrm>
                            <a:off x="0" y="0"/>
                            <a:ext cx="5104765" cy="2912110"/>
                          </a:xfrm>
                          <a:prstGeom prst="rect">
                            <a:avLst/>
                          </a:prstGeom>
                          <a:noFill/>
                          <a:ln>
                            <a:noFill/>
                          </a:ln>
                        </pic:spPr>
                      </pic:pic>
                    </a:graphicData>
                  </a:graphic>
                </wp:anchor>
              </w:drawing>
            </w: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hint="eastAsia"/>
              </w:rPr>
            </w:pPr>
          </w:p>
        </w:tc>
        <w:tc>
          <w:tcPr>
            <w:tcW w:w="870" w:type="dxa"/>
            <w:noWrap w:val="0"/>
            <w:vAlign w:val="center"/>
          </w:tcPr>
          <w:p>
            <w:pPr>
              <w:ind w:firstLine="210" w:firstLineChars="100"/>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位</w:t>
            </w:r>
          </w:p>
        </w:tc>
        <w:tc>
          <w:tcPr>
            <w:tcW w:w="750" w:type="dxa"/>
            <w:noWrap w:val="0"/>
            <w:vAlign w:val="center"/>
          </w:tcPr>
          <w:p>
            <w:pPr>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2463</w:t>
            </w:r>
          </w:p>
        </w:tc>
        <w:tc>
          <w:tcPr>
            <w:tcW w:w="1116" w:type="dxa"/>
            <w:noWrap w:val="0"/>
            <w:vAlign w:val="center"/>
          </w:tcPr>
          <w:p>
            <w:pPr>
              <w:jc w:val="center"/>
              <w:rPr>
                <w:rFonts w:hint="default" w:ascii="仿宋_GB2312" w:hAnsi="仿宋_GB2312" w:eastAsia="仿宋_GB2312" w:cs="仿宋_GB2312"/>
                <w:lang w:val="en-US" w:eastAsia="zh-CN"/>
              </w:rPr>
            </w:pPr>
          </w:p>
        </w:tc>
        <w:tc>
          <w:tcPr>
            <w:tcW w:w="856" w:type="dxa"/>
            <w:noWrap w:val="0"/>
            <w:vAlign w:val="center"/>
          </w:tcPr>
          <w:p>
            <w:pP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539" w:type="dxa"/>
            <w:gridSpan w:val="3"/>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合计</w:t>
            </w:r>
          </w:p>
        </w:tc>
        <w:tc>
          <w:tcPr>
            <w:tcW w:w="87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75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111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r>
    </w:tbl>
    <w:p>
      <w:pPr>
        <w:pStyle w:val="4"/>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NhYjlmNzg3YjU1ZTkyMmIwMTg1N2JjYzljYTVlOWYifQ=="/>
  </w:docVars>
  <w:rsids>
    <w:rsidRoot w:val="00B514D0"/>
    <w:rsid w:val="000452DC"/>
    <w:rsid w:val="000B4ABB"/>
    <w:rsid w:val="002846A2"/>
    <w:rsid w:val="003F417C"/>
    <w:rsid w:val="00767513"/>
    <w:rsid w:val="009721AA"/>
    <w:rsid w:val="00B514D0"/>
    <w:rsid w:val="00CA613C"/>
    <w:rsid w:val="024C1528"/>
    <w:rsid w:val="02951EDC"/>
    <w:rsid w:val="033D6C49"/>
    <w:rsid w:val="03791753"/>
    <w:rsid w:val="04B10524"/>
    <w:rsid w:val="05F257ED"/>
    <w:rsid w:val="06B2679F"/>
    <w:rsid w:val="087E0481"/>
    <w:rsid w:val="08FE4AE6"/>
    <w:rsid w:val="0B0D7F86"/>
    <w:rsid w:val="0B9C1B14"/>
    <w:rsid w:val="0BFA1219"/>
    <w:rsid w:val="0C7156BE"/>
    <w:rsid w:val="0E063628"/>
    <w:rsid w:val="0E26243C"/>
    <w:rsid w:val="0EE001C6"/>
    <w:rsid w:val="0EF920CC"/>
    <w:rsid w:val="0F914234"/>
    <w:rsid w:val="0F9C3145"/>
    <w:rsid w:val="0FF02789"/>
    <w:rsid w:val="109666F5"/>
    <w:rsid w:val="10C234B2"/>
    <w:rsid w:val="10FB40F0"/>
    <w:rsid w:val="126D15AB"/>
    <w:rsid w:val="13913395"/>
    <w:rsid w:val="13BF7656"/>
    <w:rsid w:val="14A71D36"/>
    <w:rsid w:val="153D5FC1"/>
    <w:rsid w:val="15D31197"/>
    <w:rsid w:val="16830AEB"/>
    <w:rsid w:val="16931917"/>
    <w:rsid w:val="1775586B"/>
    <w:rsid w:val="177B1AE6"/>
    <w:rsid w:val="17B81C9F"/>
    <w:rsid w:val="180649CB"/>
    <w:rsid w:val="1811244B"/>
    <w:rsid w:val="19155E6B"/>
    <w:rsid w:val="1AFD24D1"/>
    <w:rsid w:val="1B281F85"/>
    <w:rsid w:val="1C387FA6"/>
    <w:rsid w:val="1D064333"/>
    <w:rsid w:val="1DDC3A3A"/>
    <w:rsid w:val="1DFC4CCF"/>
    <w:rsid w:val="1DFD71F5"/>
    <w:rsid w:val="1E242665"/>
    <w:rsid w:val="1FE81CE3"/>
    <w:rsid w:val="207955CE"/>
    <w:rsid w:val="222C30E4"/>
    <w:rsid w:val="22F20CE3"/>
    <w:rsid w:val="24C60FF4"/>
    <w:rsid w:val="250D7AF6"/>
    <w:rsid w:val="25494FD2"/>
    <w:rsid w:val="260D24A3"/>
    <w:rsid w:val="278D0E9D"/>
    <w:rsid w:val="28164F13"/>
    <w:rsid w:val="283453B9"/>
    <w:rsid w:val="28FB6B38"/>
    <w:rsid w:val="2A125C2A"/>
    <w:rsid w:val="2AA9206F"/>
    <w:rsid w:val="2AE8703B"/>
    <w:rsid w:val="2B151462"/>
    <w:rsid w:val="2B8A1EA0"/>
    <w:rsid w:val="2BCD5388"/>
    <w:rsid w:val="3019196D"/>
    <w:rsid w:val="303F594F"/>
    <w:rsid w:val="33022C64"/>
    <w:rsid w:val="354A0F90"/>
    <w:rsid w:val="356934B3"/>
    <w:rsid w:val="358A16AE"/>
    <w:rsid w:val="365001FC"/>
    <w:rsid w:val="369D517D"/>
    <w:rsid w:val="37111FF5"/>
    <w:rsid w:val="377D1912"/>
    <w:rsid w:val="387B3F18"/>
    <w:rsid w:val="38EF04C7"/>
    <w:rsid w:val="3A26309A"/>
    <w:rsid w:val="3A95616C"/>
    <w:rsid w:val="3B9A45E4"/>
    <w:rsid w:val="3BA86AE9"/>
    <w:rsid w:val="3BB15227"/>
    <w:rsid w:val="3BBE6CAA"/>
    <w:rsid w:val="3BF03FA1"/>
    <w:rsid w:val="3D8726E3"/>
    <w:rsid w:val="3DDC34F5"/>
    <w:rsid w:val="3E733FF8"/>
    <w:rsid w:val="3F163D1F"/>
    <w:rsid w:val="400817F8"/>
    <w:rsid w:val="41190CC1"/>
    <w:rsid w:val="41232723"/>
    <w:rsid w:val="42BC0E36"/>
    <w:rsid w:val="42E9401F"/>
    <w:rsid w:val="4368460B"/>
    <w:rsid w:val="449B514E"/>
    <w:rsid w:val="46ED1809"/>
    <w:rsid w:val="48CF779A"/>
    <w:rsid w:val="494B6CBB"/>
    <w:rsid w:val="495B6A5D"/>
    <w:rsid w:val="49935F6C"/>
    <w:rsid w:val="49AD702E"/>
    <w:rsid w:val="4B24443A"/>
    <w:rsid w:val="4B38326F"/>
    <w:rsid w:val="4C5B6E36"/>
    <w:rsid w:val="4D2E698E"/>
    <w:rsid w:val="4EF43F50"/>
    <w:rsid w:val="4F132029"/>
    <w:rsid w:val="4F2C45ED"/>
    <w:rsid w:val="4F920AB3"/>
    <w:rsid w:val="500B4368"/>
    <w:rsid w:val="50362033"/>
    <w:rsid w:val="50414974"/>
    <w:rsid w:val="50AA2519"/>
    <w:rsid w:val="512342EC"/>
    <w:rsid w:val="51B31176"/>
    <w:rsid w:val="51BD4D47"/>
    <w:rsid w:val="520039D2"/>
    <w:rsid w:val="52D36182"/>
    <w:rsid w:val="53050280"/>
    <w:rsid w:val="54756851"/>
    <w:rsid w:val="54BC1EB9"/>
    <w:rsid w:val="54BE3CC9"/>
    <w:rsid w:val="557430F6"/>
    <w:rsid w:val="569F0A34"/>
    <w:rsid w:val="56F93FE7"/>
    <w:rsid w:val="57805D55"/>
    <w:rsid w:val="57C540DC"/>
    <w:rsid w:val="58654E55"/>
    <w:rsid w:val="58951FC6"/>
    <w:rsid w:val="59580B79"/>
    <w:rsid w:val="5B0867BA"/>
    <w:rsid w:val="5B2335F4"/>
    <w:rsid w:val="5BE31E0F"/>
    <w:rsid w:val="5C0F2AF7"/>
    <w:rsid w:val="5D0F5F3C"/>
    <w:rsid w:val="5D2B49E2"/>
    <w:rsid w:val="62407C94"/>
    <w:rsid w:val="6322106C"/>
    <w:rsid w:val="638F46D9"/>
    <w:rsid w:val="641E2BAA"/>
    <w:rsid w:val="645405A3"/>
    <w:rsid w:val="64FD784A"/>
    <w:rsid w:val="67062BB7"/>
    <w:rsid w:val="674D37A6"/>
    <w:rsid w:val="679A496D"/>
    <w:rsid w:val="67CA7017"/>
    <w:rsid w:val="67E833FD"/>
    <w:rsid w:val="69A17240"/>
    <w:rsid w:val="6A5A033B"/>
    <w:rsid w:val="6A684EA5"/>
    <w:rsid w:val="6BED7123"/>
    <w:rsid w:val="6BFA6658"/>
    <w:rsid w:val="6C39192F"/>
    <w:rsid w:val="6DB76E92"/>
    <w:rsid w:val="6DB85607"/>
    <w:rsid w:val="6E7A3414"/>
    <w:rsid w:val="7019797A"/>
    <w:rsid w:val="704E2A69"/>
    <w:rsid w:val="70C049B0"/>
    <w:rsid w:val="719C721E"/>
    <w:rsid w:val="724606DE"/>
    <w:rsid w:val="7327134F"/>
    <w:rsid w:val="734A24D4"/>
    <w:rsid w:val="73D03335"/>
    <w:rsid w:val="74B862CC"/>
    <w:rsid w:val="750556C0"/>
    <w:rsid w:val="75483B75"/>
    <w:rsid w:val="75A629FF"/>
    <w:rsid w:val="771E03B4"/>
    <w:rsid w:val="79B37DE1"/>
    <w:rsid w:val="7A4B00F1"/>
    <w:rsid w:val="7C7972B7"/>
    <w:rsid w:val="7CCC223C"/>
    <w:rsid w:val="7D2A0BC7"/>
    <w:rsid w:val="7D425704"/>
    <w:rsid w:val="7DEA41FE"/>
    <w:rsid w:val="7DFF53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3"/>
    <w:next w:val="1"/>
    <w:unhideWhenUsed/>
    <w:qFormat/>
    <w:uiPriority w:val="9"/>
    <w:pPr>
      <w:keepNext/>
      <w:keepLines/>
      <w:jc w:val="center"/>
      <w:outlineLvl w:val="1"/>
    </w:pPr>
    <w:rPr>
      <w:rFonts w:ascii="Cambria" w:hAnsi="Cambria" w:eastAsia="方正小标宋简体"/>
      <w:kern w:val="0"/>
      <w:sz w:val="28"/>
      <w:szCs w:val="32"/>
    </w:rPr>
  </w:style>
  <w:style w:type="paragraph" w:styleId="3">
    <w:name w:val="heading 3"/>
    <w:basedOn w:val="1"/>
    <w:next w:val="1"/>
    <w:qFormat/>
    <w:uiPriority w:val="9"/>
    <w:pPr>
      <w:keepNext/>
      <w:keepLines/>
      <w:jc w:val="center"/>
      <w:outlineLvl w:val="2"/>
    </w:pPr>
    <w:rPr>
      <w:rFonts w:eastAsia="黑体"/>
      <w:bCs/>
      <w:kern w:val="0"/>
      <w:sz w:val="24"/>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Balloon Text"/>
    <w:basedOn w:val="1"/>
    <w:link w:val="1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正文-公1"/>
    <w:basedOn w:val="12"/>
    <w:next w:val="1"/>
    <w:qFormat/>
    <w:uiPriority w:val="4"/>
    <w:pPr>
      <w:ind w:firstLine="200" w:firstLineChars="200"/>
    </w:p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3">
    <w:name w:val="fontstyle01"/>
    <w:qFormat/>
    <w:uiPriority w:val="0"/>
    <w:rPr>
      <w:rFonts w:hint="eastAsia" w:ascii="宋体" w:hAnsi="宋体" w:eastAsia="宋体"/>
      <w:color w:val="000000"/>
      <w:sz w:val="28"/>
      <w:szCs w:val="28"/>
    </w:rPr>
  </w:style>
  <w:style w:type="paragraph" w:styleId="14">
    <w:name w:val="List Paragraph"/>
    <w:basedOn w:val="1"/>
    <w:qFormat/>
    <w:uiPriority w:val="99"/>
    <w:pPr>
      <w:ind w:firstLine="420" w:firstLineChars="200"/>
    </w:pPr>
  </w:style>
  <w:style w:type="character" w:customStyle="1" w:styleId="15">
    <w:name w:val="页眉 Char"/>
    <w:link w:val="7"/>
    <w:qFormat/>
    <w:uiPriority w:val="99"/>
    <w:rPr>
      <w:sz w:val="18"/>
      <w:szCs w:val="18"/>
    </w:rPr>
  </w:style>
  <w:style w:type="paragraph" w:customStyle="1" w:styleId="16">
    <w:name w:val="内文1"/>
    <w:basedOn w:val="1"/>
    <w:qFormat/>
    <w:uiPriority w:val="0"/>
    <w:pPr>
      <w:adjustRightInd w:val="0"/>
      <w:snapToGrid w:val="0"/>
      <w:spacing w:beforeLines="30" w:afterLines="30" w:line="300" w:lineRule="atLeast"/>
      <w:ind w:left="1038"/>
    </w:pPr>
    <w:rPr>
      <w:rFonts w:ascii="Arial" w:hAnsi="Arial" w:cs="Arial"/>
      <w:sz w:val="20"/>
      <w:szCs w:val="20"/>
    </w:rPr>
  </w:style>
  <w:style w:type="character" w:customStyle="1" w:styleId="17">
    <w:name w:val="批注框文本 Char"/>
    <w:basedOn w:val="10"/>
    <w:link w:val="5"/>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2317</Words>
  <Characters>2699</Characters>
  <Lines>59</Lines>
  <Paragraphs>16</Paragraphs>
  <TotalTime>1</TotalTime>
  <ScaleCrop>false</ScaleCrop>
  <LinksUpToDate>false</LinksUpToDate>
  <CharactersWithSpaces>2720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2022-05-23T14:37:00Z</dcterms:created>
  <dc:creator>YT1</dc:creator>
  <cp:lastModifiedBy>deer</cp:lastModifiedBy>
  <dcterms:modified xsi:type="dcterms:W3CDTF">2023-06-28T02:22:16Z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9D44114D8ED34C3A85C3DD06A4BEC523</vt:lpwstr>
  </property>
</Properties>
</file>